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磋</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商</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hint="eastAsia" w:ascii="宋体"/>
          <w:b/>
          <w:bCs/>
          <w:color w:val="auto"/>
          <w:sz w:val="44"/>
          <w:szCs w:val="44"/>
          <w:highlight w:val="none"/>
        </w:rPr>
      </w:pPr>
      <w:r>
        <w:rPr>
          <w:rFonts w:hint="eastAsia" w:ascii="宋体"/>
          <w:b/>
          <w:bCs/>
          <w:color w:val="auto"/>
          <w:sz w:val="44"/>
          <w:szCs w:val="44"/>
          <w:highlight w:val="none"/>
        </w:rPr>
        <w:t xml:space="preserve">（电子标）</w:t>
      </w:r>
      <w:r/>
    </w:p>
    <w:p>
      <w:pPr>
        <w:jc w:val="center"/>
        <w:rPr>
          <w:rFonts w:hint="eastAsia" w:ascii="宋体"/>
          <w:b/>
          <w:bCs/>
          <w:color w:val="auto"/>
          <w:sz w:val="44"/>
          <w:szCs w:val="44"/>
          <w:highlight w:val="none"/>
        </w:rPr>
      </w:pPr>
      <w:r>
        <w:rPr>
          <w:rFonts w:hint="eastAsia" w:ascii="宋体"/>
          <w:b/>
          <w:bCs/>
          <w:color w:val="auto"/>
          <w:sz w:val="44"/>
          <w:szCs w:val="44"/>
          <w:highlight w:val="none"/>
        </w:rPr>
      </w:r>
      <w:r/>
    </w:p>
    <w:p>
      <w:pPr>
        <w:jc w:val="center"/>
        <w:rPr>
          <w:rFonts w:hint="eastAsia" w:ascii="宋体"/>
          <w:b/>
          <w:bCs/>
          <w:color w:val="auto"/>
          <w:sz w:val="44"/>
          <w:szCs w:val="44"/>
          <w:highlight w:val="none"/>
        </w:rPr>
      </w:pPr>
      <w:r>
        <w:rPr>
          <w:rFonts w:hint="eastAsia" w:ascii="宋体"/>
          <w:b/>
          <w:bCs/>
          <w:color w:val="auto"/>
          <w:sz w:val="44"/>
          <w:szCs w:val="44"/>
          <w:highlight w:val="none"/>
        </w:rPr>
      </w:r>
      <w:r/>
    </w:p>
    <w:p>
      <w:pPr>
        <w:ind w:firstLine="1600"/>
        <w:rPr>
          <w:rFonts w:ascii="宋体"/>
          <w:color w:val="auto"/>
          <w:sz w:val="32"/>
          <w:highlight w:val="none"/>
        </w:rPr>
      </w:pPr>
      <w:r>
        <w:rPr>
          <w:rFonts w:ascii="宋体"/>
          <w:color w:val="auto"/>
          <w:sz w:val="32"/>
          <w:highlight w:val="none"/>
        </w:rPr>
      </w:r>
      <w:r/>
    </w:p>
    <w:p>
      <w:pPr>
        <w:ind w:left="0" w:firstLine="1478"/>
        <w:spacing w:line="360" w:lineRule="auto"/>
        <w:tabs>
          <w:tab w:val="left" w:pos="7140" w:leader="none"/>
        </w:tabs>
        <w:rPr>
          <w:rFonts w:hint="default" w:ascii="宋体"/>
          <w:color w:val="auto"/>
          <w:sz w:val="32"/>
          <w:highlight w:val="none"/>
          <w:lang w:val="en-US"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：JSZC-320282-ZDQY-C2025-000</w:t>
      </w:r>
      <w:r>
        <w:rPr>
          <w:rFonts w:hint="eastAsia" w:ascii="宋体"/>
          <w:color w:val="auto"/>
          <w:sz w:val="32"/>
          <w:highlight w:val="none"/>
          <w:lang w:val="en-US" w:eastAsia="zh-CN"/>
        </w:rPr>
        <w:t xml:space="preserve">4</w:t>
      </w:r>
      <w:r/>
    </w:p>
    <w:p>
      <w:pPr>
        <w:ind w:left="0" w:firstLine="1478"/>
        <w:spacing w:line="360" w:lineRule="auto"/>
        <w:tabs>
          <w:tab w:val="left" w:pos="7140" w:leader="none"/>
        </w:tabs>
        <w:rPr>
          <w:rFonts w:hint="eastAsia" w:ascii="宋体" w:eastAsia="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：宜兴市自然资源和规划局</w:t>
      </w:r>
      <w:r/>
    </w:p>
    <w:p>
      <w:pPr>
        <w:ind w:left="0" w:firstLine="1478"/>
        <w:jc w:val="left"/>
        <w:spacing w:line="360" w:lineRule="auto"/>
        <w:rPr>
          <w:rFonts w:hint="eastAsia" w:ascii="宋体" w:eastAsia="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：宜兴市自然资源和规划局档案数字化服务项目</w:t>
      </w:r>
      <w:r/>
    </w:p>
    <w:p>
      <w:pPr>
        <w:ind w:left="0" w:firstLine="1478"/>
        <w:jc w:val="both"/>
        <w:spacing w:line="360" w:lineRule="auto"/>
        <w:rPr>
          <w:rFonts w:hint="default" w:ascii="宋体" w:eastAsia="宋体"/>
          <w:color w:val="auto"/>
          <w:sz w:val="32"/>
          <w:highlight w:val="none"/>
          <w:lang w:val="en-US" w:eastAsia="zh-CN"/>
        </w:rPr>
      </w:pPr>
      <w:r>
        <w:rPr>
          <w:rFonts w:hint="eastAsia" w:ascii="宋体"/>
          <w:color w:val="auto"/>
          <w:sz w:val="32"/>
          <w:highlight w:val="none"/>
        </w:rPr>
        <w:t xml:space="preserve">采购代理机构</w:t>
      </w:r>
      <w:r>
        <w:rPr>
          <w:rFonts w:hint="eastAsia" w:ascii="宋体"/>
          <w:color w:val="auto"/>
          <w:sz w:val="32"/>
          <w:highlight w:val="none"/>
          <w:lang w:eastAsia="zh-CN"/>
        </w:rPr>
        <w:t xml:space="preserve">：</w:t>
      </w:r>
      <w:r>
        <w:rPr>
          <w:rFonts w:hint="eastAsia" w:ascii="宋体"/>
          <w:color w:val="auto"/>
          <w:sz w:val="32"/>
          <w:highlight w:val="none"/>
          <w:lang w:val="en-US" w:eastAsia="zh-CN"/>
        </w:rPr>
        <w:t xml:space="preserve">宜兴市中达企业管理咨询服务有限公司</w:t>
      </w:r>
      <w:r/>
    </w:p>
    <w:p>
      <w:pPr>
        <w:rPr>
          <w:rFonts w:ascii="宋体"/>
          <w:color w:val="auto"/>
          <w:sz w:val="32"/>
          <w:highlight w:val="none"/>
        </w:rPr>
      </w:pPr>
      <w:r>
        <w:rPr>
          <w:rFonts w:ascii="宋体"/>
          <w:color w:val="auto"/>
          <w:sz w:val="32"/>
          <w:highlight w:val="none"/>
        </w:rPr>
      </w:r>
      <w:r/>
    </w:p>
    <w:p>
      <w:pPr>
        <w:ind w:firstLine="3840"/>
        <w:rPr>
          <w:color w:val="auto"/>
          <w:highlight w:val="none"/>
        </w:rPr>
      </w:pPr>
      <w:r>
        <w:rPr>
          <w:rFonts w:hint="eastAsia" w:ascii="宋体"/>
          <w:color w:val="auto"/>
          <w:sz w:val="32"/>
          <w:highlight w:val="none"/>
        </w:rPr>
        <w:t xml:space="preserve">二〇二五年</w:t>
      </w:r>
      <w:r>
        <w:rPr>
          <w:rFonts w:hint="eastAsia" w:ascii="宋体"/>
          <w:color w:val="auto"/>
          <w:sz w:val="32"/>
          <w:highlight w:val="none"/>
          <w:lang w:val="en-US" w:eastAsia="zh-CN"/>
        </w:rPr>
        <w:t xml:space="preserve">十二</w:t>
      </w:r>
      <w:r>
        <w:rPr>
          <w:rFonts w:hint="eastAsia" w:ascii="宋体"/>
          <w:color w:val="auto"/>
          <w:sz w:val="32"/>
          <w:highlight w:val="none"/>
        </w:rPr>
        <w:t xml:space="preserve">月</w:t>
      </w:r>
      <w:r>
        <w:rPr>
          <w:rFonts w:hint="eastAsia"/>
          <w:color w:val="auto"/>
          <w:highlight w:val="none"/>
        </w:rPr>
        <w:t xml:space="preserve">                                                                                      </w:t>
      </w:r>
      <w:r/>
    </w:p>
    <w:p>
      <w:pPr>
        <w:jc w:val="center"/>
        <w:rPr>
          <w:rStyle w:val="725"/>
          <w:rFonts w:eastAsia="黑体"/>
          <w:bCs/>
          <w:color w:val="auto"/>
          <w:sz w:val="48"/>
          <w:highlight w:val="none"/>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725"/>
          <w:rFonts w:eastAsia="黑体"/>
          <w:bCs/>
          <w:color w:val="auto"/>
          <w:sz w:val="48"/>
          <w:highlight w:val="none"/>
        </w:rPr>
      </w:pPr>
      <w:r>
        <w:rPr>
          <w:rFonts w:eastAsia="黑体"/>
          <w:bCs/>
          <w:color w:val="auto"/>
          <w:sz w:val="48"/>
          <w:highlight w:val="none"/>
        </w:rPr>
      </w:r>
      <w:r/>
    </w:p>
    <w:p>
      <w:pPr>
        <w:jc w:val="center"/>
        <w:rPr>
          <w:rStyle w:val="725"/>
          <w:rFonts w:eastAsia="黑体"/>
          <w:bCs/>
          <w:color w:val="auto"/>
          <w:sz w:val="52"/>
          <w:szCs w:val="52"/>
          <w:highlight w:val="none"/>
        </w:rPr>
      </w:pPr>
      <w:r>
        <w:rPr>
          <w:rStyle w:val="725"/>
          <w:rFonts w:hint="eastAsia" w:eastAsia="黑体"/>
          <w:bCs/>
          <w:color w:val="auto"/>
          <w:sz w:val="52"/>
          <w:szCs w:val="52"/>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szCs w:val="30"/>
          <w:highlight w:val="none"/>
        </w:rPr>
      </w:pPr>
      <w:r>
        <w:rPr>
          <w:rFonts w:ascii="黑体" w:eastAsia="黑体"/>
          <w:bCs/>
          <w:color w:val="auto"/>
          <w:sz w:val="30"/>
          <w:szCs w:val="30"/>
          <w:highlight w:val="none"/>
        </w:rPr>
      </w:r>
      <w:r/>
    </w:p>
    <w:p>
      <w:pPr>
        <w:pStyle w:val="707"/>
        <w:spacing w:line="360" w:lineRule="auto"/>
        <w:tabs>
          <w:tab w:val="right" w:pos="9628" w:leader="dot"/>
        </w:tabs>
        <w:rPr>
          <w:rFonts w:asciiTheme="minorHAnsi" w:hAnsiTheme="minorHAnsi" w:eastAsiaTheme="minorEastAsia" w:cstheme="minorBidi"/>
          <w:color w:val="auto"/>
          <w:sz w:val="30"/>
          <w:szCs w:val="30"/>
          <w:highlight w:val="none"/>
          <w14:ligatures w14:val="standardContextual"/>
        </w:rPr>
      </w:pPr>
      <w:r>
        <w:rPr>
          <w:rFonts w:hint="eastAsia" w:ascii="黑体" w:eastAsia="黑体" w:cs="黑体"/>
          <w:color w:val="auto"/>
          <w:sz w:val="30"/>
          <w:szCs w:val="30"/>
          <w:highlight w:val="none"/>
        </w:rPr>
        <w:fldChar w:fldCharType="begin"/>
      </w:r>
      <w:r>
        <w:rPr>
          <w:rFonts w:hint="eastAsia" w:ascii="黑体" w:eastAsia="黑体" w:cs="黑体"/>
          <w:color w:val="auto"/>
          <w:sz w:val="30"/>
          <w:szCs w:val="30"/>
          <w:highlight w:val="none"/>
        </w:rPr>
        <w:instrText xml:space="preserve">TOC \o "1-1" \h  \u </w:instrText>
      </w:r>
      <w:r>
        <w:rPr>
          <w:rFonts w:hint="eastAsia" w:ascii="黑体" w:eastAsia="黑体" w:cs="黑体"/>
          <w:color w:val="auto"/>
          <w:sz w:val="30"/>
          <w:szCs w:val="30"/>
          <w:highlight w:val="none"/>
        </w:rPr>
        <w:fldChar w:fldCharType="separate"/>
      </w:r>
      <w:r>
        <w:rPr>
          <w:color w:val="auto"/>
          <w:sz w:val="30"/>
          <w:szCs w:val="30"/>
          <w:highlight w:val="none"/>
        </w:rPr>
        <w:fldChar w:fldCharType="begin"/>
      </w:r>
      <w:r>
        <w:rPr>
          <w:color w:val="auto"/>
          <w:sz w:val="30"/>
          <w:szCs w:val="30"/>
          <w:highlight w:val="none"/>
        </w:rPr>
        <w:instrText xml:space="preserve"> HYPERLINK \l "_Toc184189851" </w:instrText>
      </w:r>
      <w:r>
        <w:rPr>
          <w:color w:val="auto"/>
          <w:sz w:val="30"/>
          <w:szCs w:val="30"/>
          <w:highlight w:val="none"/>
        </w:rPr>
        <w:fldChar w:fldCharType="separate"/>
      </w:r>
      <w:r>
        <w:rPr>
          <w:rStyle w:val="726"/>
          <w:rFonts w:hint="eastAsia" w:ascii="黑体" w:eastAsia="黑体"/>
          <w:color w:val="auto"/>
          <w:sz w:val="30"/>
          <w:szCs w:val="30"/>
          <w:highlight w:val="none"/>
        </w:rPr>
        <w:t xml:space="preserve">第一章 报价邀请函</w:t>
      </w:r>
      <w:r>
        <w:rPr>
          <w:rFonts w:hint="eastAsia"/>
          <w:color w:val="auto"/>
          <w:sz w:val="30"/>
          <w:szCs w:val="30"/>
          <w:highlight w:val="none"/>
        </w:rPr>
        <w:tab/>
      </w:r>
      <w:r>
        <w:rPr>
          <w:rFonts w:hint="eastAsia"/>
          <w:color w:val="auto"/>
          <w:sz w:val="30"/>
          <w:szCs w:val="30"/>
          <w:highlight w:val="none"/>
        </w:rPr>
        <w:fldChar w:fldCharType="begin"/>
      </w:r>
      <w:r>
        <w:rPr>
          <w:rFonts w:hint="eastAsia"/>
          <w:color w:val="auto"/>
          <w:sz w:val="30"/>
          <w:szCs w:val="30"/>
          <w:highlight w:val="none"/>
        </w:rPr>
        <w:instrText xml:space="preserve"> </w:instrText>
      </w:r>
      <w:r>
        <w:rPr>
          <w:color w:val="auto"/>
          <w:sz w:val="30"/>
          <w:szCs w:val="30"/>
          <w:highlight w:val="none"/>
        </w:rPr>
        <w:instrText xml:space="preserve">PAGEREF _Toc184189851 \h</w:instrText>
      </w:r>
      <w:r>
        <w:rPr>
          <w:rFonts w:hint="eastAsia"/>
          <w:color w:val="auto"/>
          <w:sz w:val="30"/>
          <w:szCs w:val="30"/>
          <w:highlight w:val="none"/>
        </w:rPr>
        <w:instrText xml:space="preserve"> </w:instrText>
      </w:r>
      <w:r>
        <w:rPr>
          <w:rFonts w:hint="eastAsia"/>
          <w:color w:val="auto"/>
          <w:sz w:val="30"/>
          <w:szCs w:val="30"/>
          <w:highlight w:val="none"/>
        </w:rPr>
        <w:fldChar w:fldCharType="separate"/>
      </w:r>
      <w:r>
        <w:rPr>
          <w:color w:val="auto"/>
          <w:sz w:val="30"/>
          <w:szCs w:val="30"/>
          <w:highlight w:val="none"/>
        </w:rPr>
        <w:t xml:space="preserve">2</w:t>
      </w:r>
      <w:r>
        <w:rPr>
          <w:rFonts w:hint="eastAsia"/>
          <w:color w:val="auto"/>
          <w:sz w:val="30"/>
          <w:szCs w:val="30"/>
          <w:highlight w:val="none"/>
        </w:rPr>
        <w:fldChar w:fldCharType="end"/>
      </w:r>
      <w:r>
        <w:rPr>
          <w:rFonts w:hint="eastAsia"/>
          <w:color w:val="auto"/>
          <w:sz w:val="30"/>
          <w:szCs w:val="30"/>
          <w:highlight w:val="none"/>
        </w:rPr>
        <w:fldChar w:fldCharType="end"/>
      </w:r>
      <w:r/>
    </w:p>
    <w:p>
      <w:pPr>
        <w:pStyle w:val="707"/>
        <w:spacing w:line="360" w:lineRule="auto"/>
        <w:tabs>
          <w:tab w:val="right" w:pos="9628" w:leader="dot"/>
        </w:tabs>
        <w:rPr>
          <w:rFonts w:asciiTheme="minorHAnsi" w:hAnsiTheme="minorHAnsi" w:eastAsiaTheme="minorEastAsia" w:cstheme="minorBidi"/>
          <w:color w:val="auto"/>
          <w:sz w:val="30"/>
          <w:szCs w:val="30"/>
          <w:highlight w:val="none"/>
          <w14:ligatures w14:val="standardContextual"/>
        </w:rPr>
      </w:pPr>
      <w:r>
        <w:rPr>
          <w:color w:val="auto"/>
          <w:sz w:val="30"/>
          <w:szCs w:val="30"/>
          <w:highlight w:val="none"/>
        </w:rPr>
        <w:fldChar w:fldCharType="begin"/>
      </w:r>
      <w:r>
        <w:rPr>
          <w:color w:val="auto"/>
          <w:sz w:val="30"/>
          <w:szCs w:val="30"/>
          <w:highlight w:val="none"/>
        </w:rPr>
        <w:instrText xml:space="preserve"> HYPERLINK \l "_Toc184189852" </w:instrText>
      </w:r>
      <w:r>
        <w:rPr>
          <w:color w:val="auto"/>
          <w:sz w:val="30"/>
          <w:szCs w:val="30"/>
          <w:highlight w:val="none"/>
        </w:rPr>
        <w:fldChar w:fldCharType="separate"/>
      </w:r>
      <w:r>
        <w:rPr>
          <w:rStyle w:val="726"/>
          <w:rFonts w:hint="eastAsia" w:ascii="黑体" w:eastAsia="黑体"/>
          <w:color w:val="auto"/>
          <w:sz w:val="30"/>
          <w:szCs w:val="30"/>
          <w:highlight w:val="none"/>
        </w:rPr>
        <w:t xml:space="preserve">第二章 供应商须知</w:t>
      </w:r>
      <w:r>
        <w:rPr>
          <w:rFonts w:hint="eastAsia"/>
          <w:color w:val="auto"/>
          <w:sz w:val="30"/>
          <w:szCs w:val="30"/>
          <w:highlight w:val="none"/>
        </w:rPr>
        <w:tab/>
      </w:r>
      <w:r>
        <w:rPr>
          <w:rFonts w:hint="eastAsia"/>
          <w:color w:val="auto"/>
          <w:sz w:val="30"/>
          <w:szCs w:val="30"/>
          <w:highlight w:val="none"/>
        </w:rPr>
        <w:fldChar w:fldCharType="begin"/>
      </w:r>
      <w:r>
        <w:rPr>
          <w:rFonts w:hint="eastAsia"/>
          <w:color w:val="auto"/>
          <w:sz w:val="30"/>
          <w:szCs w:val="30"/>
          <w:highlight w:val="none"/>
        </w:rPr>
        <w:instrText xml:space="preserve"> </w:instrText>
      </w:r>
      <w:r>
        <w:rPr>
          <w:color w:val="auto"/>
          <w:sz w:val="30"/>
          <w:szCs w:val="30"/>
          <w:highlight w:val="none"/>
        </w:rPr>
        <w:instrText xml:space="preserve">PAGEREF _Toc184189852 \h</w:instrText>
      </w:r>
      <w:r>
        <w:rPr>
          <w:rFonts w:hint="eastAsia"/>
          <w:color w:val="auto"/>
          <w:sz w:val="30"/>
          <w:szCs w:val="30"/>
          <w:highlight w:val="none"/>
        </w:rPr>
        <w:instrText xml:space="preserve"> </w:instrText>
      </w:r>
      <w:r>
        <w:rPr>
          <w:rFonts w:hint="eastAsia"/>
          <w:color w:val="auto"/>
          <w:sz w:val="30"/>
          <w:szCs w:val="30"/>
          <w:highlight w:val="none"/>
        </w:rPr>
        <w:fldChar w:fldCharType="separate"/>
      </w:r>
      <w:r>
        <w:rPr>
          <w:color w:val="auto"/>
          <w:sz w:val="30"/>
          <w:szCs w:val="30"/>
          <w:highlight w:val="none"/>
        </w:rPr>
        <w:t xml:space="preserve">5</w:t>
      </w:r>
      <w:r>
        <w:rPr>
          <w:rFonts w:hint="eastAsia"/>
          <w:color w:val="auto"/>
          <w:sz w:val="30"/>
          <w:szCs w:val="30"/>
          <w:highlight w:val="none"/>
        </w:rPr>
        <w:fldChar w:fldCharType="end"/>
      </w:r>
      <w:r>
        <w:rPr>
          <w:rFonts w:hint="eastAsia"/>
          <w:color w:val="auto"/>
          <w:sz w:val="30"/>
          <w:szCs w:val="30"/>
          <w:highlight w:val="none"/>
        </w:rPr>
        <w:fldChar w:fldCharType="end"/>
      </w:r>
      <w:r/>
    </w:p>
    <w:p>
      <w:pPr>
        <w:pStyle w:val="707"/>
        <w:spacing w:line="360" w:lineRule="auto"/>
        <w:tabs>
          <w:tab w:val="right" w:pos="9628" w:leader="dot"/>
        </w:tabs>
        <w:rPr>
          <w:rFonts w:asciiTheme="minorHAnsi" w:hAnsiTheme="minorHAnsi" w:eastAsiaTheme="minorEastAsia" w:cstheme="minorBidi"/>
          <w:color w:val="auto"/>
          <w:sz w:val="30"/>
          <w:szCs w:val="30"/>
          <w:highlight w:val="none"/>
          <w14:ligatures w14:val="standardContextual"/>
        </w:rPr>
      </w:pPr>
      <w:r>
        <w:rPr>
          <w:color w:val="auto"/>
          <w:sz w:val="30"/>
          <w:szCs w:val="30"/>
          <w:highlight w:val="none"/>
        </w:rPr>
        <w:fldChar w:fldCharType="begin"/>
      </w:r>
      <w:r>
        <w:rPr>
          <w:color w:val="auto"/>
          <w:sz w:val="30"/>
          <w:szCs w:val="30"/>
          <w:highlight w:val="none"/>
        </w:rPr>
        <w:instrText xml:space="preserve"> HYPERLINK \l "_Toc184189853" </w:instrText>
      </w:r>
      <w:r>
        <w:rPr>
          <w:color w:val="auto"/>
          <w:sz w:val="30"/>
          <w:szCs w:val="30"/>
          <w:highlight w:val="none"/>
        </w:rPr>
        <w:fldChar w:fldCharType="separate"/>
      </w:r>
      <w:r>
        <w:rPr>
          <w:rStyle w:val="726"/>
          <w:rFonts w:hint="eastAsia" w:ascii="黑体" w:eastAsia="黑体"/>
          <w:color w:val="auto"/>
          <w:sz w:val="30"/>
          <w:szCs w:val="30"/>
          <w:highlight w:val="none"/>
        </w:rPr>
        <w:t xml:space="preserve">第三章 项目技术要求和有关说明</w:t>
      </w:r>
      <w:r>
        <w:rPr>
          <w:rFonts w:hint="eastAsia"/>
          <w:color w:val="auto"/>
          <w:sz w:val="30"/>
          <w:szCs w:val="30"/>
          <w:highlight w:val="none"/>
        </w:rPr>
        <w:tab/>
      </w:r>
      <w:r>
        <w:rPr>
          <w:rFonts w:hint="eastAsia"/>
          <w:color w:val="auto"/>
          <w:sz w:val="30"/>
          <w:szCs w:val="30"/>
          <w:highlight w:val="none"/>
        </w:rPr>
        <w:fldChar w:fldCharType="begin"/>
      </w:r>
      <w:r>
        <w:rPr>
          <w:rFonts w:hint="eastAsia"/>
          <w:color w:val="auto"/>
          <w:sz w:val="30"/>
          <w:szCs w:val="30"/>
          <w:highlight w:val="none"/>
        </w:rPr>
        <w:instrText xml:space="preserve"> </w:instrText>
      </w:r>
      <w:r>
        <w:rPr>
          <w:color w:val="auto"/>
          <w:sz w:val="30"/>
          <w:szCs w:val="30"/>
          <w:highlight w:val="none"/>
        </w:rPr>
        <w:instrText xml:space="preserve">PAGEREF _Toc184189853 \h</w:instrText>
      </w:r>
      <w:r>
        <w:rPr>
          <w:rFonts w:hint="eastAsia"/>
          <w:color w:val="auto"/>
          <w:sz w:val="30"/>
          <w:szCs w:val="30"/>
          <w:highlight w:val="none"/>
        </w:rPr>
        <w:instrText xml:space="preserve"> </w:instrText>
      </w:r>
      <w:r>
        <w:rPr>
          <w:rFonts w:hint="eastAsia"/>
          <w:color w:val="auto"/>
          <w:sz w:val="30"/>
          <w:szCs w:val="30"/>
          <w:highlight w:val="none"/>
        </w:rPr>
        <w:fldChar w:fldCharType="separate"/>
      </w:r>
      <w:r>
        <w:rPr>
          <w:color w:val="auto"/>
          <w:sz w:val="30"/>
          <w:szCs w:val="30"/>
          <w:highlight w:val="none"/>
        </w:rPr>
        <w:t xml:space="preserve">21</w:t>
      </w:r>
      <w:r>
        <w:rPr>
          <w:rFonts w:hint="eastAsia"/>
          <w:color w:val="auto"/>
          <w:sz w:val="30"/>
          <w:szCs w:val="30"/>
          <w:highlight w:val="none"/>
        </w:rPr>
        <w:fldChar w:fldCharType="end"/>
      </w:r>
      <w:r>
        <w:rPr>
          <w:rFonts w:hint="eastAsia"/>
          <w:color w:val="auto"/>
          <w:sz w:val="30"/>
          <w:szCs w:val="30"/>
          <w:highlight w:val="none"/>
        </w:rPr>
        <w:fldChar w:fldCharType="end"/>
      </w:r>
      <w:r/>
    </w:p>
    <w:p>
      <w:pPr>
        <w:pStyle w:val="707"/>
        <w:spacing w:line="360" w:lineRule="auto"/>
        <w:tabs>
          <w:tab w:val="right" w:pos="9628" w:leader="dot"/>
        </w:tabs>
        <w:rPr>
          <w:rFonts w:hint="eastAsia" w:eastAsia="宋体" w:asciiTheme="minorHAnsi" w:hAnsiTheme="minorHAnsi" w:cstheme="minorBidi"/>
          <w:color w:val="auto"/>
          <w:sz w:val="30"/>
          <w:szCs w:val="30"/>
          <w:highlight w:val="none"/>
          <w:lang w:val="en-US" w:eastAsia="zh-CN"/>
          <w14:ligatures w14:val="standardContextual"/>
        </w:rPr>
      </w:pPr>
      <w:r>
        <w:rPr>
          <w:color w:val="auto"/>
          <w:sz w:val="30"/>
          <w:szCs w:val="30"/>
          <w:highlight w:val="none"/>
        </w:rPr>
        <w:fldChar w:fldCharType="begin"/>
      </w:r>
      <w:r>
        <w:rPr>
          <w:color w:val="auto"/>
          <w:sz w:val="30"/>
          <w:szCs w:val="30"/>
          <w:highlight w:val="none"/>
        </w:rPr>
        <w:instrText xml:space="preserve"> HYPERLINK \l "_Toc184189854" </w:instrText>
      </w:r>
      <w:r>
        <w:rPr>
          <w:color w:val="auto"/>
          <w:sz w:val="30"/>
          <w:szCs w:val="30"/>
          <w:highlight w:val="none"/>
        </w:rPr>
        <w:fldChar w:fldCharType="separate"/>
      </w:r>
      <w:r>
        <w:rPr>
          <w:rStyle w:val="726"/>
          <w:rFonts w:hint="eastAsia" w:ascii="黑体" w:eastAsia="黑体"/>
          <w:color w:val="auto"/>
          <w:sz w:val="30"/>
          <w:szCs w:val="30"/>
          <w:highlight w:val="none"/>
        </w:rPr>
        <w:t xml:space="preserve">第四章 评审方法和标准</w:t>
      </w:r>
      <w:r>
        <w:rPr>
          <w:rFonts w:hint="eastAsia"/>
          <w:color w:val="auto"/>
          <w:sz w:val="30"/>
          <w:szCs w:val="30"/>
          <w:highlight w:val="none"/>
        </w:rPr>
        <w:tab/>
      </w:r>
      <w:r>
        <w:rPr>
          <w:rFonts w:hint="eastAsia"/>
          <w:color w:val="auto"/>
          <w:sz w:val="30"/>
          <w:szCs w:val="30"/>
          <w:highlight w:val="none"/>
          <w:lang w:val="en-US" w:eastAsia="zh-CN"/>
        </w:rPr>
        <w:t xml:space="preserve">2</w:t>
      </w:r>
      <w:r>
        <w:rPr>
          <w:rFonts w:hint="eastAsia"/>
          <w:color w:val="auto"/>
          <w:sz w:val="30"/>
          <w:szCs w:val="30"/>
          <w:highlight w:val="none"/>
        </w:rPr>
        <w:fldChar w:fldCharType="end"/>
      </w:r>
      <w:r>
        <w:rPr>
          <w:rFonts w:hint="eastAsia"/>
          <w:color w:val="auto"/>
          <w:sz w:val="30"/>
          <w:szCs w:val="30"/>
          <w:highlight w:val="none"/>
          <w:lang w:val="en-US" w:eastAsia="zh-CN"/>
        </w:rPr>
        <w:t xml:space="preserve">8</w:t>
      </w:r>
      <w:r/>
    </w:p>
    <w:p>
      <w:pPr>
        <w:pStyle w:val="707"/>
        <w:spacing w:line="360" w:lineRule="auto"/>
        <w:tabs>
          <w:tab w:val="right" w:pos="9628" w:leader="dot"/>
        </w:tabs>
        <w:rPr>
          <w:rFonts w:hint="default" w:eastAsia="宋体" w:asciiTheme="minorHAnsi" w:hAnsiTheme="minorHAnsi" w:cstheme="minorBidi"/>
          <w:color w:val="auto"/>
          <w:sz w:val="30"/>
          <w:szCs w:val="30"/>
          <w:highlight w:val="none"/>
          <w:lang w:val="en-US" w:eastAsia="zh-CN"/>
          <w14:ligatures w14:val="standardContextual"/>
        </w:rPr>
      </w:pPr>
      <w:r>
        <w:rPr>
          <w:color w:val="auto"/>
          <w:sz w:val="30"/>
          <w:szCs w:val="30"/>
          <w:highlight w:val="none"/>
        </w:rPr>
        <w:fldChar w:fldCharType="begin"/>
      </w:r>
      <w:r>
        <w:rPr>
          <w:color w:val="auto"/>
          <w:sz w:val="30"/>
          <w:szCs w:val="30"/>
          <w:highlight w:val="none"/>
        </w:rPr>
        <w:instrText xml:space="preserve"> HYPERLINK \l "_Toc184189855" </w:instrText>
      </w:r>
      <w:r>
        <w:rPr>
          <w:color w:val="auto"/>
          <w:sz w:val="30"/>
          <w:szCs w:val="30"/>
          <w:highlight w:val="none"/>
        </w:rPr>
        <w:fldChar w:fldCharType="separate"/>
      </w:r>
      <w:r>
        <w:rPr>
          <w:rStyle w:val="726"/>
          <w:rFonts w:hint="eastAsia" w:ascii="黑体" w:eastAsia="黑体"/>
          <w:color w:val="auto"/>
          <w:sz w:val="30"/>
          <w:szCs w:val="30"/>
          <w:highlight w:val="none"/>
        </w:rPr>
        <w:t xml:space="preserve">第五章 政府采购合同（格式）</w:t>
      </w:r>
      <w:r>
        <w:rPr>
          <w:rFonts w:hint="eastAsia"/>
          <w:color w:val="auto"/>
          <w:sz w:val="30"/>
          <w:szCs w:val="30"/>
          <w:highlight w:val="none"/>
        </w:rPr>
        <w:tab/>
      </w:r>
      <w:r>
        <w:rPr>
          <w:rFonts w:hint="eastAsia"/>
          <w:color w:val="auto"/>
          <w:sz w:val="30"/>
          <w:szCs w:val="30"/>
          <w:highlight w:val="none"/>
        </w:rPr>
        <w:fldChar w:fldCharType="end"/>
      </w:r>
      <w:r>
        <w:rPr>
          <w:rFonts w:hint="eastAsia"/>
          <w:color w:val="auto"/>
          <w:sz w:val="30"/>
          <w:szCs w:val="30"/>
          <w:highlight w:val="none"/>
          <w:lang w:val="en-US" w:eastAsia="zh-CN"/>
        </w:rPr>
        <w:t xml:space="preserve">32</w:t>
      </w:r>
      <w:r/>
    </w:p>
    <w:p>
      <w:pPr>
        <w:pStyle w:val="707"/>
        <w:spacing w:line="360" w:lineRule="auto"/>
        <w:tabs>
          <w:tab w:val="right" w:pos="9628" w:leader="dot"/>
        </w:tabs>
        <w:rPr>
          <w:rFonts w:hint="eastAsia" w:eastAsia="宋体" w:asciiTheme="minorHAnsi" w:hAnsiTheme="minorHAnsi" w:cstheme="minorBidi"/>
          <w:color w:val="auto"/>
          <w:sz w:val="30"/>
          <w:szCs w:val="30"/>
          <w:highlight w:val="none"/>
          <w:lang w:val="en-US" w:eastAsia="zh-CN"/>
          <w14:ligatures w14:val="standardContextual"/>
        </w:rPr>
      </w:pPr>
      <w:r>
        <w:rPr>
          <w:color w:val="auto"/>
          <w:sz w:val="30"/>
          <w:szCs w:val="30"/>
          <w:highlight w:val="none"/>
        </w:rPr>
        <w:fldChar w:fldCharType="begin"/>
      </w:r>
      <w:r>
        <w:rPr>
          <w:color w:val="auto"/>
          <w:sz w:val="30"/>
          <w:szCs w:val="30"/>
          <w:highlight w:val="none"/>
        </w:rPr>
        <w:instrText xml:space="preserve"> HYPERLINK \l "_Toc184189856" </w:instrText>
      </w:r>
      <w:r>
        <w:rPr>
          <w:color w:val="auto"/>
          <w:sz w:val="30"/>
          <w:szCs w:val="30"/>
          <w:highlight w:val="none"/>
        </w:rPr>
        <w:fldChar w:fldCharType="separate"/>
      </w:r>
      <w:r>
        <w:rPr>
          <w:rStyle w:val="726"/>
          <w:rFonts w:hint="eastAsia" w:ascii="黑体" w:eastAsia="黑体"/>
          <w:color w:val="auto"/>
          <w:sz w:val="30"/>
          <w:szCs w:val="30"/>
          <w:highlight w:val="none"/>
        </w:rPr>
        <w:t xml:space="preserve">第六章 响应文件（格式）</w:t>
      </w:r>
      <w:r>
        <w:rPr>
          <w:rFonts w:hint="eastAsia"/>
          <w:color w:val="auto"/>
          <w:sz w:val="30"/>
          <w:szCs w:val="30"/>
          <w:highlight w:val="none"/>
        </w:rPr>
        <w:tab/>
      </w:r>
      <w:r>
        <w:rPr>
          <w:rFonts w:hint="eastAsia"/>
          <w:color w:val="auto"/>
          <w:sz w:val="30"/>
          <w:szCs w:val="30"/>
          <w:highlight w:val="none"/>
          <w:lang w:val="en-US" w:eastAsia="zh-CN"/>
        </w:rPr>
        <w:t xml:space="preserve">4</w:t>
      </w:r>
      <w:r>
        <w:rPr>
          <w:rFonts w:hint="eastAsia"/>
          <w:color w:val="auto"/>
          <w:sz w:val="30"/>
          <w:szCs w:val="30"/>
          <w:highlight w:val="none"/>
        </w:rPr>
        <w:fldChar w:fldCharType="end"/>
      </w:r>
      <w:r>
        <w:rPr>
          <w:rFonts w:hint="eastAsia"/>
          <w:color w:val="auto"/>
          <w:sz w:val="30"/>
          <w:szCs w:val="30"/>
          <w:highlight w:val="none"/>
          <w:lang w:val="en-US" w:eastAsia="zh-CN"/>
        </w:rPr>
        <w:t xml:space="preserve">1</w:t>
      </w:r>
      <w:r/>
    </w:p>
    <w:p>
      <w:pPr>
        <w:spacing w:line="360" w:lineRule="auto"/>
        <w:rPr>
          <w:rFonts w:ascii="楷体_GB2312" w:eastAsia="楷体_GB2312"/>
          <w:color w:val="auto"/>
          <w:sz w:val="30"/>
          <w:szCs w:val="30"/>
          <w:highlight w:val="none"/>
        </w:rPr>
      </w:pPr>
      <w:r>
        <w:rPr>
          <w:rFonts w:hint="eastAsia" w:ascii="黑体" w:eastAsia="黑体" w:cs="黑体"/>
          <w:color w:val="auto"/>
          <w:sz w:val="30"/>
          <w:szCs w:val="30"/>
          <w:highlight w:val="none"/>
        </w:rPr>
        <w:fldChar w:fldCharType="end"/>
      </w:r>
      <w:r/>
    </w:p>
    <w:p>
      <w:pPr>
        <w:jc w:val="center"/>
        <w:rPr>
          <w:rFonts w:ascii="黑体" w:eastAsia="黑体"/>
          <w:color w:val="auto"/>
          <w:sz w:val="30"/>
          <w:szCs w:val="30"/>
          <w:highlight w:val="none"/>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30211"/>
      <w:r/>
      <w:r/>
    </w:p>
    <w:p>
      <w:pPr>
        <w:jc w:val="center"/>
        <w:rPr>
          <w:rFonts w:ascii="黑体" w:eastAsia="黑体"/>
          <w:color w:val="auto"/>
          <w:sz w:val="28"/>
          <w:highlight w:val="none"/>
        </w:rPr>
        <w:outlineLvl w:val="0"/>
      </w:pPr>
      <w:r/>
      <w:bookmarkStart w:id="1" w:name="_Toc184189851"/>
      <w:r/>
      <w:bookmarkStart w:id="2" w:name="_Toc56600390"/>
      <w:r/>
      <w:bookmarkStart w:id="3" w:name="_Toc56599574"/>
      <w:r>
        <w:rPr>
          <w:rFonts w:hint="eastAsia" w:ascii="黑体" w:eastAsia="黑体"/>
          <w:color w:val="auto"/>
          <w:sz w:val="28"/>
          <w:highlight w:val="none"/>
        </w:rPr>
        <w:t xml:space="preserve">第一章 报价邀请函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lang w:eastAsia="zh-CN"/>
        </w:rPr>
        <w:t xml:space="preserve">宜兴市自然资源和规划局</w:t>
      </w:r>
      <w:r>
        <w:rPr>
          <w:rFonts w:hint="eastAsia" w:ascii="宋体"/>
          <w:color w:val="auto"/>
          <w:sz w:val="24"/>
          <w:szCs w:val="28"/>
          <w:highlight w:val="none"/>
        </w:rPr>
        <w:t xml:space="preserve">对</w:t>
      </w:r>
      <w:r>
        <w:rPr>
          <w:rFonts w:hint="eastAsia" w:ascii="宋体"/>
          <w:color w:val="auto"/>
          <w:sz w:val="24"/>
          <w:szCs w:val="28"/>
          <w:highlight w:val="none"/>
          <w:lang w:eastAsia="zh-CN"/>
        </w:rPr>
        <w:t xml:space="preserve">宜兴市自然资源和规划局档案数字化服务项目</w:t>
      </w:r>
      <w:r>
        <w:rPr>
          <w:rFonts w:hint="eastAsia" w:ascii="宋体"/>
          <w:color w:val="auto"/>
          <w:sz w:val="24"/>
          <w:szCs w:val="28"/>
          <w:highlight w:val="none"/>
        </w:rPr>
        <w:t xml:space="preserve">进行竞争性磋商方式采购，</w:t>
      </w:r>
      <w:r>
        <w:rPr>
          <w:rFonts w:hint="eastAsia" w:ascii="宋体"/>
          <w:bCs/>
          <w:color w:val="auto"/>
          <w:sz w:val="24"/>
          <w:szCs w:val="24"/>
          <w:highlight w:val="none"/>
        </w:rPr>
        <w:t xml:space="preserve">欢迎你单位竞争报价并请注意下列附表中的相关事项；</w:t>
      </w:r>
      <w:r>
        <w:rPr>
          <w:rFonts w:ascii="宋体"/>
          <w:bCs/>
          <w:color w:val="auto"/>
          <w:sz w:val="24"/>
          <w:szCs w:val="24"/>
          <w:highlight w:val="none"/>
        </w:rPr>
        <w:t xml:space="preserve"> </w:t>
      </w:r>
      <w:r/>
    </w:p>
    <w:tbl>
      <w:tblPr>
        <w:tblStyle w:val="690"/>
        <w:tblW w:w="10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915"/>
        <w:gridCol w:w="2234"/>
        <w:gridCol w:w="6350"/>
      </w:tblGrid>
      <w:tr>
        <w:trPr>
          <w:jc w:val="center"/>
          <w:trHeight w:val="407"/>
        </w:trPr>
        <w:tc>
          <w:tcPr>
            <w:tcW w:w="734" w:type="dxa"/>
            <w:textDirection w:val="lrTb"/>
            <w:noWrap w:val="false"/>
          </w:tcPr>
          <w:p>
            <w:pPr>
              <w:jc w:val="center"/>
              <w:spacing w:line="276"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3"/>
            <w:tcW w:w="9499" w:type="dxa"/>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34"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915" w:type="dxa"/>
            <w:vAlign w:val="center"/>
            <w:textDirection w:val="lrTb"/>
            <w:noWrap w:val="false"/>
          </w:tcPr>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项</w:t>
            </w:r>
            <w:r/>
          </w:p>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目</w:t>
            </w:r>
            <w:r/>
          </w:p>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信</w:t>
            </w:r>
            <w:r/>
          </w:p>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息</w:t>
            </w:r>
            <w:r/>
          </w:p>
        </w:tc>
        <w:tc>
          <w:tcPr>
            <w:gridSpan w:val="2"/>
            <w:tcW w:w="8584" w:type="dxa"/>
            <w:textDirection w:val="lrTb"/>
            <w:noWrap w:val="false"/>
          </w:tcPr>
          <w:p>
            <w:pPr>
              <w:jc w:val="left"/>
              <w:spacing w:line="440" w:lineRule="exact"/>
              <w:rPr>
                <w:rFonts w:hint="eastAsia" w:ascii="宋体" w:eastAsia="宋体"/>
                <w:color w:val="auto"/>
                <w:sz w:val="24"/>
                <w:szCs w:val="28"/>
                <w:highlight w:val="none"/>
                <w:lang w:eastAsia="zh-CN"/>
              </w:rPr>
            </w:pPr>
            <w:r>
              <w:rPr>
                <w:rFonts w:hint="eastAsia" w:ascii="宋体"/>
                <w:bCs/>
                <w:color w:val="auto"/>
                <w:sz w:val="24"/>
                <w:szCs w:val="24"/>
                <w:highlight w:val="none"/>
              </w:rPr>
              <w:t xml:space="preserve">项目名称：</w:t>
            </w:r>
            <w:r>
              <w:rPr>
                <w:rFonts w:hint="eastAsia" w:ascii="宋体"/>
                <w:color w:val="auto"/>
                <w:sz w:val="24"/>
                <w:szCs w:val="28"/>
                <w:highlight w:val="none"/>
                <w:lang w:eastAsia="zh-CN"/>
              </w:rPr>
              <w:t xml:space="preserve">宜兴市自然资源和规划局档案数字化服务项目</w:t>
            </w:r>
            <w:r/>
          </w:p>
          <w:p>
            <w:pPr>
              <w:jc w:val="left"/>
              <w:spacing w:line="440" w:lineRule="exact"/>
              <w:rPr>
                <w:rFonts w:hint="eastAsia" w:ascii="宋体"/>
                <w:color w:val="auto"/>
                <w:sz w:val="24"/>
                <w:szCs w:val="28"/>
                <w:highlight w:val="none"/>
                <w:lang w:eastAsia="zh-CN"/>
              </w:rPr>
            </w:pPr>
            <w:r>
              <w:rPr>
                <w:rFonts w:hint="eastAsia" w:ascii="宋体"/>
                <w:color w:val="auto"/>
                <w:sz w:val="24"/>
                <w:szCs w:val="28"/>
                <w:highlight w:val="none"/>
              </w:rPr>
              <w:t xml:space="preserve">项目编号:JSZC-320282-ZDQY-C2025-0004</w:t>
            </w:r>
            <w:r/>
          </w:p>
          <w:p>
            <w:pPr>
              <w:jc w:val="left"/>
              <w:spacing w:line="440" w:lineRule="exact"/>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本项目是否专门面向中小企业：是</w:t>
            </w:r>
            <w:r/>
          </w:p>
          <w:p>
            <w:pPr>
              <w:jc w:val="left"/>
              <w:spacing w:line="440" w:lineRule="exact"/>
              <w:rPr>
                <w:rFonts w:ascii="宋体"/>
                <w:color w:val="auto"/>
                <w:sz w:val="24"/>
                <w:szCs w:val="28"/>
                <w:highlight w:val="none"/>
              </w:rPr>
            </w:pPr>
            <w:r>
              <w:rPr>
                <w:rFonts w:hint="eastAsia" w:ascii="宋体" w:hAnsi="宋体"/>
                <w:bCs/>
                <w:color w:val="auto"/>
                <w:sz w:val="24"/>
                <w:szCs w:val="24"/>
                <w:highlight w:val="none"/>
              </w:rPr>
              <w:t xml:space="preserve">本项目标的所属行业：</w:t>
            </w:r>
            <w:r>
              <w:rPr>
                <w:rFonts w:hint="eastAsia" w:ascii="宋体" w:hAnsi="宋体"/>
                <w:bCs/>
                <w:color w:val="000000"/>
                <w:sz w:val="24"/>
                <w:szCs w:val="24"/>
                <w:highlight w:val="none"/>
              </w:rPr>
              <w:t xml:space="preserve">其他未列明行业</w:t>
            </w:r>
            <w:r>
              <w:rPr>
                <w:rFonts w:hint="eastAsia" w:ascii="宋体" w:hAnsi="宋体"/>
                <w:bCs/>
                <w:color w:val="auto"/>
                <w:sz w:val="24"/>
                <w:szCs w:val="24"/>
                <w:highlight w:val="none"/>
              </w:rPr>
              <w:t xml:space="preserve">  </w:t>
            </w:r>
            <w:r/>
          </w:p>
          <w:p>
            <w:pPr>
              <w:jc w:val="left"/>
              <w:spacing w:line="440" w:lineRule="exact"/>
              <w:rPr>
                <w:rFonts w:ascii="宋体"/>
                <w:color w:val="auto"/>
                <w:sz w:val="24"/>
                <w:szCs w:val="28"/>
                <w:highlight w:val="none"/>
              </w:rPr>
            </w:pPr>
            <w:r>
              <w:rPr>
                <w:rFonts w:hint="eastAsia" w:ascii="宋体"/>
                <w:color w:val="auto"/>
                <w:sz w:val="24"/>
                <w:szCs w:val="28"/>
                <w:highlight w:val="none"/>
              </w:rPr>
              <w:t xml:space="preserve">采购方式：竞争性磋商 </w:t>
            </w:r>
            <w:r/>
          </w:p>
          <w:p>
            <w:pPr>
              <w:jc w:val="left"/>
              <w:spacing w:line="440" w:lineRule="exact"/>
              <w:rPr>
                <w:rFonts w:ascii="宋体"/>
                <w:color w:val="auto"/>
                <w:sz w:val="24"/>
                <w:szCs w:val="28"/>
                <w:highlight w:val="none"/>
              </w:rPr>
            </w:pPr>
            <w:r>
              <w:rPr>
                <w:rFonts w:hint="eastAsia" w:ascii="宋体"/>
                <w:color w:val="auto"/>
                <w:sz w:val="24"/>
                <w:szCs w:val="28"/>
                <w:highlight w:val="none"/>
              </w:rPr>
              <w:t xml:space="preserve">评审方法：参照综合评分法</w:t>
            </w:r>
            <w:r>
              <w:rPr>
                <w:rFonts w:hint="eastAsia" w:ascii="宋体"/>
                <w:bCs/>
                <w:color w:val="auto"/>
                <w:sz w:val="24"/>
                <w:szCs w:val="24"/>
                <w:highlight w:val="none"/>
              </w:rPr>
              <w:t xml:space="preserve">          </w:t>
            </w:r>
            <w:r/>
          </w:p>
          <w:p>
            <w:pPr>
              <w:jc w:val="left"/>
              <w:spacing w:line="440" w:lineRule="exact"/>
              <w:rPr>
                <w:rFonts w:ascii="宋体"/>
                <w:color w:val="auto"/>
                <w:sz w:val="24"/>
                <w:szCs w:val="28"/>
                <w:highlight w:val="none"/>
              </w:rPr>
            </w:pPr>
            <w:r>
              <w:rPr>
                <w:rFonts w:hint="eastAsia" w:ascii="宋体"/>
                <w:color w:val="auto"/>
                <w:sz w:val="24"/>
                <w:szCs w:val="28"/>
                <w:highlight w:val="none"/>
              </w:rPr>
              <w:t xml:space="preserve">预算金额：</w:t>
            </w:r>
            <w:r>
              <w:rPr>
                <w:rFonts w:hint="eastAsia" w:ascii="宋体"/>
                <w:color w:val="auto"/>
                <w:sz w:val="24"/>
                <w:szCs w:val="28"/>
                <w:highlight w:val="none"/>
                <w:lang w:val="en-US" w:eastAsia="zh-CN"/>
              </w:rPr>
              <w:t xml:space="preserve">102.08</w:t>
            </w:r>
            <w:r>
              <w:rPr>
                <w:rFonts w:hint="eastAsia" w:ascii="宋体"/>
                <w:color w:val="auto"/>
                <w:sz w:val="24"/>
                <w:szCs w:val="28"/>
                <w:highlight w:val="none"/>
              </w:rPr>
              <w:t xml:space="preserve">万元</w:t>
            </w:r>
            <w:r/>
          </w:p>
          <w:p>
            <w:pPr>
              <w:jc w:val="left"/>
              <w:spacing w:line="440" w:lineRule="exact"/>
              <w:rPr>
                <w:rFonts w:ascii="宋体"/>
                <w:color w:val="auto"/>
                <w:sz w:val="24"/>
                <w:szCs w:val="28"/>
                <w:highlight w:val="none"/>
              </w:rPr>
            </w:pPr>
            <w:r>
              <w:rPr>
                <w:rFonts w:hint="eastAsia" w:ascii="宋体"/>
                <w:color w:val="auto"/>
                <w:sz w:val="24"/>
                <w:szCs w:val="28"/>
                <w:highlight w:val="none"/>
              </w:rPr>
              <w:t xml:space="preserve">最高限价：同预算金额</w:t>
            </w:r>
            <w:r/>
          </w:p>
          <w:p>
            <w:pPr>
              <w:jc w:val="left"/>
              <w:spacing w:line="44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集中考察或答疑：无</w:t>
            </w:r>
            <w:r/>
          </w:p>
          <w:p>
            <w:pPr>
              <w:jc w:val="left"/>
              <w:spacing w:line="44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本项目不接受联合体，不接受分包</w:t>
            </w:r>
            <w:r/>
          </w:p>
        </w:tc>
      </w:tr>
      <w:tr>
        <w:trPr>
          <w:jc w:val="center"/>
        </w:trPr>
        <w:tc>
          <w:tcPr>
            <w:tcW w:w="734"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915" w:type="dxa"/>
            <w:vAlign w:val="center"/>
            <w:textDirection w:val="lrTb"/>
            <w:noWrap w:val="false"/>
          </w:tcPr>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资</w:t>
            </w:r>
            <w:r/>
          </w:p>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格</w:t>
            </w:r>
            <w:r/>
          </w:p>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条</w:t>
            </w:r>
            <w:r/>
          </w:p>
          <w:p>
            <w:pPr>
              <w:jc w:val="center"/>
              <w:spacing w:line="276" w:lineRule="auto"/>
              <w:rPr>
                <w:color w:val="auto"/>
                <w:highlight w:val="none"/>
                <w:lang w:val="zh-CN"/>
              </w:rPr>
            </w:pPr>
            <w:r>
              <w:rPr>
                <w:rFonts w:hint="eastAsia" w:ascii="宋体"/>
                <w:b/>
                <w:color w:val="auto"/>
                <w:sz w:val="24"/>
                <w:szCs w:val="24"/>
                <w:highlight w:val="none"/>
              </w:rPr>
              <w:t xml:space="preserve">件</w:t>
            </w:r>
            <w:r/>
          </w:p>
        </w:tc>
        <w:tc>
          <w:tcPr>
            <w:gridSpan w:val="2"/>
            <w:tcW w:w="8584" w:type="dxa"/>
            <w:textDirection w:val="lrTb"/>
            <w:noWrap w:val="false"/>
          </w:tcPr>
          <w:p>
            <w:pPr>
              <w:pStyle w:val="915"/>
              <w:spacing w:line="500" w:lineRule="exact"/>
              <w:rPr>
                <w:color w:val="auto"/>
                <w:highlight w:val="none"/>
              </w:rPr>
            </w:pPr>
            <w:r>
              <w:rPr>
                <w:rFonts w:hint="eastAsia"/>
                <w:color w:val="auto"/>
                <w:highlight w:val="none"/>
              </w:rPr>
              <w:t xml:space="preserve">2.1供应商参加本次政府采购活动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500" w:lineRule="exact"/>
              <w:rPr>
                <w:rFonts w:hint="eastAsia" w:ascii="宋体" w:hAnsi="宋体"/>
                <w:bCs/>
                <w:color w:val="auto"/>
                <w:sz w:val="24"/>
                <w:szCs w:val="21"/>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供应商须知”响应文件的组成中的“资格条件”；</w:t>
            </w:r>
            <w:r/>
          </w:p>
          <w:p>
            <w:pPr>
              <w:spacing w:line="500" w:lineRule="exact"/>
              <w:rPr>
                <w:rFonts w:hint="eastAsia" w:ascii="宋体" w:hAnsi="宋体" w:eastAsia="宋体"/>
                <w:bCs/>
                <w:color w:val="auto"/>
                <w:sz w:val="24"/>
                <w:szCs w:val="21"/>
                <w:highlight w:val="none"/>
                <w:lang w:eastAsia="zh-CN"/>
              </w:rPr>
            </w:pPr>
            <w:r>
              <w:rPr>
                <w:rFonts w:hint="eastAsia" w:ascii="宋体" w:hAnsi="宋体"/>
                <w:b/>
                <w:bCs w:val="0"/>
                <w:color w:val="auto"/>
                <w:sz w:val="24"/>
                <w:szCs w:val="21"/>
                <w:highlight w:val="none"/>
                <w:lang w:val="zh-CN"/>
              </w:rPr>
              <w:t xml:space="preserve">②</w:t>
            </w:r>
            <w:r>
              <w:rPr>
                <w:rFonts w:hint="eastAsia" w:ascii="宋体" w:hAnsi="宋体"/>
                <w:b/>
                <w:bCs w:val="0"/>
                <w:color w:val="auto"/>
                <w:sz w:val="24"/>
                <w:szCs w:val="21"/>
                <w:highlight w:val="none"/>
              </w:rPr>
              <w:t xml:space="preserve">落实政府采购政策需满足的资格要求：</w:t>
            </w:r>
            <w:bookmarkStart w:id="5" w:name="OLE_LINK1"/>
            <w:r>
              <w:rPr>
                <w:rFonts w:hint="eastAsia" w:ascii="宋体" w:hAnsi="宋体"/>
                <w:b/>
                <w:bCs w:val="0"/>
                <w:color w:val="auto"/>
                <w:sz w:val="24"/>
                <w:szCs w:val="21"/>
                <w:highlight w:val="none"/>
              </w:rPr>
              <w:t xml:space="preserve">本项目专门面向中小企业</w:t>
            </w:r>
            <w:bookmarkEnd w:id="5"/>
            <w:r>
              <w:rPr>
                <w:rFonts w:hint="eastAsia" w:ascii="宋体" w:hAnsi="宋体"/>
                <w:b/>
                <w:bCs w:val="0"/>
                <w:color w:val="auto"/>
                <w:sz w:val="24"/>
                <w:szCs w:val="21"/>
                <w:highlight w:val="none"/>
                <w:lang w:eastAsia="zh-CN"/>
              </w:rPr>
              <w:t xml:space="preserve">采购。</w:t>
            </w:r>
            <w:r/>
          </w:p>
        </w:tc>
      </w:tr>
      <w:tr>
        <w:trPr>
          <w:jc w:val="center"/>
        </w:trPr>
        <w:tc>
          <w:tcPr>
            <w:tcW w:w="734"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3</w:t>
            </w:r>
            <w:r/>
          </w:p>
        </w:tc>
        <w:tc>
          <w:tcPr>
            <w:tcW w:w="915" w:type="dxa"/>
            <w:vAlign w:val="center"/>
            <w:textDirection w:val="lrTb"/>
            <w:noWrap w:val="false"/>
          </w:tcPr>
          <w:p>
            <w:pPr>
              <w:jc w:val="center"/>
              <w:rPr>
                <w:b/>
                <w:bCs/>
                <w:color w:val="auto"/>
                <w:sz w:val="24"/>
                <w:szCs w:val="22"/>
                <w:highlight w:val="none"/>
              </w:rPr>
            </w:pPr>
            <w:r>
              <w:rPr>
                <w:rFonts w:hint="eastAsia"/>
                <w:b/>
                <w:bCs/>
                <w:color w:val="auto"/>
                <w:sz w:val="24"/>
                <w:szCs w:val="22"/>
                <w:highlight w:val="none"/>
              </w:rPr>
              <w:t xml:space="preserve">磋商</w:t>
            </w:r>
            <w:r/>
          </w:p>
          <w:p>
            <w:pPr>
              <w:jc w:val="center"/>
              <w:rPr>
                <w:color w:val="auto"/>
                <w:highlight w:val="none"/>
              </w:rPr>
            </w:pPr>
            <w:r>
              <w:rPr>
                <w:rFonts w:hint="eastAsia"/>
                <w:b/>
                <w:bCs/>
                <w:color w:val="auto"/>
                <w:sz w:val="24"/>
                <w:szCs w:val="22"/>
                <w:highlight w:val="none"/>
              </w:rPr>
              <w:t xml:space="preserve">文件</w:t>
            </w:r>
            <w:r/>
          </w:p>
        </w:tc>
        <w:tc>
          <w:tcPr>
            <w:gridSpan w:val="2"/>
            <w:tcW w:w="8584" w:type="dxa"/>
            <w:textDirection w:val="lrTb"/>
            <w:noWrap w:val="false"/>
          </w:tcPr>
          <w:p>
            <w:pPr>
              <w:pStyle w:val="915"/>
              <w:spacing w:line="460" w:lineRule="exact"/>
              <w:rPr>
                <w:color w:val="auto"/>
                <w:highlight w:val="none"/>
                <w:lang w:val="zh-CN"/>
              </w:rPr>
            </w:pPr>
            <w:r>
              <w:rPr>
                <w:rFonts w:hint="eastAsia"/>
                <w:color w:val="auto"/>
                <w:highlight w:val="none"/>
                <w:lang w:val="zh-CN"/>
              </w:rPr>
              <w:t xml:space="preserve">1.磋商文件的获取：首次响应文件提交截止时间前，通过“江苏政府采购网”首页“苏采云”标签进入系统，应在“项目参与”中下载电子磋商文件(后缀名为“.kedt”)；可在“江苏政府采购网”采购公告附件中下载word版磋商文件。</w:t>
            </w:r>
            <w:r/>
          </w:p>
          <w:p>
            <w:pPr>
              <w:pStyle w:val="915"/>
              <w:spacing w:line="460" w:lineRule="exact"/>
              <w:rPr>
                <w:color w:val="auto"/>
                <w:highlight w:val="none"/>
                <w:lang w:val="zh-CN"/>
              </w:rPr>
            </w:pPr>
            <w:r>
              <w:rPr>
                <w:rFonts w:hint="eastAsia"/>
                <w:color w:val="auto"/>
                <w:highlight w:val="none"/>
                <w:lang w:val="zh-CN"/>
              </w:rPr>
              <w:t xml:space="preserve">2.“CA锁”的使用：供应商须办理有效的CA锁（即有效的CA数字证书及电子签章）才可参与全流程电子政府采购活动，省内各地区办理的“苏采云”系统下的CA锁全省通用。</w:t>
            </w:r>
            <w:r/>
          </w:p>
          <w:p>
            <w:pPr>
              <w:pStyle w:val="915"/>
              <w:spacing w:line="460" w:lineRule="exact"/>
              <w:rPr>
                <w:rFonts w:ascii="Times New Roman" w:hAnsi="Times New Roman"/>
                <w:color w:val="auto"/>
                <w:highlight w:val="none"/>
              </w:rPr>
            </w:pPr>
            <w:r>
              <w:rPr>
                <w:rFonts w:hint="eastAsia"/>
                <w:color w:val="auto"/>
                <w:highlight w:val="none"/>
                <w:lang w:val="zh-CN"/>
              </w:rPr>
              <w:t xml:space="preserve">3.CA锁办理方式、“苏采云”系统供应商操作手册及政府采购客户端工具详见江苏政府采购网“办事指南”中的资料下载专栏中的《江苏省政府采购管理交易系统（苏采云)供应商操作指南》。</w:t>
            </w:r>
            <w:r/>
          </w:p>
        </w:tc>
      </w:tr>
      <w:tr>
        <w:trPr>
          <w:jc w:val="center"/>
        </w:trPr>
        <w:tc>
          <w:tcPr>
            <w:tcW w:w="734"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4</w:t>
            </w:r>
            <w:r/>
          </w:p>
        </w:tc>
        <w:tc>
          <w:tcPr>
            <w:tcW w:w="915" w:type="dxa"/>
            <w:vAlign w:val="center"/>
            <w:textDirection w:val="lrTb"/>
            <w:noWrap w:val="false"/>
          </w:tcPr>
          <w:p>
            <w:pPr>
              <w:jc w:val="center"/>
              <w:rPr>
                <w:b/>
                <w:bCs/>
                <w:color w:val="auto"/>
                <w:szCs w:val="22"/>
                <w:highlight w:val="none"/>
                <w:lang w:val="zh-CN"/>
              </w:rPr>
            </w:pPr>
            <w:r>
              <w:rPr>
                <w:rFonts w:hint="eastAsia"/>
                <w:b/>
                <w:bCs/>
                <w:color w:val="auto"/>
                <w:szCs w:val="22"/>
                <w:highlight w:val="none"/>
                <w:lang w:val="zh-CN"/>
              </w:rPr>
              <w:t xml:space="preserve">响应</w:t>
            </w:r>
            <w:r/>
          </w:p>
          <w:p>
            <w:pPr>
              <w:jc w:val="center"/>
              <w:rPr>
                <w:b/>
                <w:bCs/>
                <w:color w:val="auto"/>
                <w:highlight w:val="none"/>
              </w:rPr>
            </w:pPr>
            <w:r>
              <w:rPr>
                <w:rFonts w:hint="eastAsia"/>
                <w:b/>
                <w:bCs/>
                <w:color w:val="auto"/>
                <w:szCs w:val="22"/>
                <w:highlight w:val="none"/>
                <w:lang w:val="zh-CN"/>
              </w:rPr>
              <w:t xml:space="preserve">文件</w:t>
            </w:r>
            <w:r/>
          </w:p>
        </w:tc>
        <w:tc>
          <w:tcPr>
            <w:gridSpan w:val="2"/>
            <w:tcW w:w="8584" w:type="dxa"/>
            <w:textDirection w:val="lrTb"/>
            <w:noWrap w:val="false"/>
          </w:tcPr>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响应文件制作及提交：</w:t>
            </w:r>
            <w:bookmarkStart w:id="6" w:name="_Hlk127868380"/>
            <w:r>
              <w:rPr>
                <w:rFonts w:hint="eastAsia" w:ascii="宋体" w:hAnsi="宋体" w:cs="宋体"/>
                <w:bCs/>
                <w:color w:val="auto"/>
                <w:sz w:val="24"/>
                <w:szCs w:val="24"/>
                <w:highlight w:val="none"/>
              </w:rPr>
              <w:t xml:space="preserve">将电子磋商文件导入政府采购客户端工具制作响应文件，导出加密的响应文件(后缀名为zip)，通过“苏采云”系统上传响应文件。</w:t>
            </w:r>
            <w:bookmarkEnd w:id="6"/>
            <w:r/>
            <w:r/>
          </w:p>
          <w:p>
            <w:pPr>
              <w:spacing w:line="440" w:lineRule="exact"/>
              <w:rPr>
                <w:color w:val="auto"/>
                <w:highlight w:val="none"/>
                <w:lang w:val="zh-CN"/>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提交响应文件截止时间后的响应文件，恕不接受。</w:t>
            </w:r>
            <w:r/>
          </w:p>
        </w:tc>
      </w:tr>
      <w:tr>
        <w:trPr>
          <w:jc w:val="center"/>
        </w:trPr>
        <w:tc>
          <w:tcPr>
            <w:tcW w:w="734" w:type="dxa"/>
            <w:vAlign w:val="center"/>
            <w:textDirection w:val="lrTb"/>
            <w:noWrap w:val="false"/>
          </w:tcPr>
          <w:p>
            <w:pPr>
              <w:jc w:val="center"/>
              <w:spacing w:line="276"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915" w:type="dxa"/>
            <w:vAlign w:val="center"/>
            <w:textDirection w:val="lrTb"/>
            <w:noWrap w:val="false"/>
          </w:tcPr>
          <w:p>
            <w:pPr>
              <w:pStyle w:val="915"/>
              <w:jc w:val="center"/>
              <w:spacing w:line="276" w:lineRule="auto"/>
              <w:rPr>
                <w:b/>
                <w:bCs/>
                <w:color w:val="auto"/>
                <w:sz w:val="22"/>
                <w:szCs w:val="22"/>
                <w:highlight w:val="none"/>
                <w:lang w:val="zh-CN"/>
              </w:rPr>
            </w:pPr>
            <w:r>
              <w:rPr>
                <w:rFonts w:hint="eastAsia"/>
                <w:b/>
                <w:bCs/>
                <w:color w:val="auto"/>
                <w:sz w:val="22"/>
                <w:szCs w:val="22"/>
                <w:highlight w:val="none"/>
                <w:lang w:val="zh-CN"/>
              </w:rPr>
              <w:t xml:space="preserve">磋商</w:t>
            </w:r>
            <w:r/>
          </w:p>
          <w:p>
            <w:pPr>
              <w:jc w:val="center"/>
              <w:rPr>
                <w:b/>
                <w:bCs/>
                <w:color w:val="auto"/>
                <w:szCs w:val="22"/>
                <w:highlight w:val="none"/>
                <w:lang w:val="zh-CN"/>
              </w:rPr>
            </w:pPr>
            <w:r>
              <w:rPr>
                <w:rFonts w:hint="eastAsia"/>
                <w:b/>
                <w:bCs/>
                <w:color w:val="auto"/>
                <w:sz w:val="22"/>
                <w:szCs w:val="22"/>
                <w:highlight w:val="none"/>
                <w:lang w:val="zh-CN"/>
              </w:rPr>
              <w:t xml:space="preserve">保证金</w:t>
            </w:r>
            <w:r/>
          </w:p>
        </w:tc>
        <w:tc>
          <w:tcPr>
            <w:gridSpan w:val="2"/>
            <w:tcW w:w="8584" w:type="dxa"/>
            <w:vAlign w:val="center"/>
            <w:textDirection w:val="lrTb"/>
            <w:noWrap w:val="false"/>
          </w:tcPr>
          <w:p>
            <w:pPr>
              <w:spacing w:line="440" w:lineRule="exact"/>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本项目免收磋商保证金。</w:t>
            </w:r>
            <w:r/>
          </w:p>
        </w:tc>
      </w:tr>
      <w:tr>
        <w:trPr>
          <w:jc w:val="center"/>
        </w:trPr>
        <w:tc>
          <w:tcPr>
            <w:tcW w:w="734" w:type="dxa"/>
            <w:vAlign w:val="center"/>
            <w:textDirection w:val="lrTb"/>
            <w:noWrap w:val="false"/>
          </w:tcPr>
          <w:p>
            <w:pPr>
              <w:jc w:val="center"/>
              <w:spacing w:line="276"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15" w:type="dxa"/>
            <w:vAlign w:val="center"/>
            <w:textDirection w:val="lrTb"/>
            <w:noWrap w:val="false"/>
          </w:tcPr>
          <w:p>
            <w:pPr>
              <w:pStyle w:val="915"/>
              <w:jc w:val="center"/>
              <w:spacing w:line="276" w:lineRule="auto"/>
              <w:rPr>
                <w:b/>
                <w:bCs/>
                <w:color w:val="auto"/>
                <w:highlight w:val="none"/>
                <w:lang w:val="zh-CN"/>
              </w:rPr>
            </w:pPr>
            <w:r>
              <w:rPr>
                <w:rFonts w:hint="eastAsia"/>
                <w:b/>
                <w:bCs/>
                <w:color w:val="auto"/>
                <w:highlight w:val="none"/>
                <w:lang w:val="zh-CN"/>
              </w:rPr>
              <w:t xml:space="preserve">其他</w:t>
            </w:r>
            <w:r/>
          </w:p>
          <w:p>
            <w:pPr>
              <w:pStyle w:val="915"/>
              <w:jc w:val="center"/>
              <w:spacing w:line="276" w:lineRule="auto"/>
              <w:rPr>
                <w:b/>
                <w:bCs/>
                <w:color w:val="auto"/>
                <w:highlight w:val="none"/>
                <w:lang w:val="zh-CN"/>
              </w:rPr>
            </w:pPr>
            <w:r>
              <w:rPr>
                <w:rFonts w:hint="eastAsia"/>
                <w:b/>
                <w:bCs/>
                <w:color w:val="auto"/>
                <w:highlight w:val="none"/>
                <w:lang w:val="zh-CN"/>
              </w:rPr>
              <w:t xml:space="preserve">要求</w:t>
            </w:r>
            <w:r/>
          </w:p>
        </w:tc>
        <w:tc>
          <w:tcPr>
            <w:gridSpan w:val="2"/>
            <w:tcW w:w="8584" w:type="dxa"/>
            <w:vAlign w:val="center"/>
            <w:textDirection w:val="lrTb"/>
            <w:noWrap w:val="false"/>
          </w:tcPr>
          <w:p>
            <w:pPr>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1、供应商单位负责人为同一人或者存在直接控股、管理关系的不同供应商，不得参加同一合同项下的政府采购活动，否则均以报价无效处理。</w:t>
            </w:r>
            <w:r/>
          </w:p>
          <w:p>
            <w:pPr>
              <w:spacing w:line="440" w:lineRule="exact"/>
              <w:rPr>
                <w:rFonts w:hint="eastAsia" w:ascii="宋体" w:hAnsi="宋体"/>
                <w:bCs/>
                <w:color w:val="auto"/>
                <w:sz w:val="24"/>
                <w:szCs w:val="24"/>
                <w:highlight w:val="none"/>
              </w:rPr>
            </w:pPr>
            <w:r>
              <w:rPr>
                <w:rFonts w:hint="eastAsia" w:ascii="宋体" w:hAnsi="宋体" w:cs="宋体"/>
                <w:bCs/>
                <w:color w:val="auto"/>
                <w:sz w:val="24"/>
                <w:szCs w:val="21"/>
                <w:highlight w:val="none"/>
              </w:rPr>
              <w:t xml:space="preserve">2、</w:t>
            </w:r>
            <w:r>
              <w:rPr>
                <w:rFonts w:hint="eastAsia" w:ascii="宋体" w:hAnsi="宋体"/>
                <w:bCs/>
                <w:color w:val="auto"/>
                <w:sz w:val="24"/>
                <w:szCs w:val="21"/>
                <w:highlight w:val="none"/>
              </w:rPr>
              <w:t xml:space="preserve">凡</w:t>
            </w:r>
            <w:r>
              <w:rPr>
                <w:rFonts w:ascii="宋体" w:hAnsi="宋体"/>
                <w:bCs/>
                <w:color w:val="auto"/>
                <w:sz w:val="24"/>
                <w:szCs w:val="21"/>
                <w:highlight w:val="none"/>
              </w:rPr>
              <w:t xml:space="preserve">为采购项目提供整体设计、规范编制或者项目管理、监理、检测等服务的供应商，不得再参加</w:t>
            </w:r>
            <w:r>
              <w:rPr>
                <w:rFonts w:hint="eastAsia" w:ascii="宋体" w:hAnsi="宋体"/>
                <w:bCs/>
                <w:color w:val="auto"/>
                <w:sz w:val="24"/>
                <w:szCs w:val="21"/>
                <w:highlight w:val="none"/>
              </w:rPr>
              <w:t xml:space="preserve">本</w:t>
            </w:r>
            <w:r>
              <w:rPr>
                <w:rFonts w:ascii="宋体" w:hAnsi="宋体"/>
                <w:bCs/>
                <w:color w:val="auto"/>
                <w:sz w:val="24"/>
                <w:szCs w:val="21"/>
                <w:highlight w:val="none"/>
              </w:rPr>
              <w:t xml:space="preserve">项目的采购活动。</w:t>
            </w:r>
            <w:r/>
          </w:p>
        </w:tc>
      </w:tr>
      <w:tr>
        <w:trPr>
          <w:jc w:val="center"/>
        </w:trPr>
        <w:tc>
          <w:tcPr>
            <w:tcW w:w="734"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915" w:type="dxa"/>
            <w:vAlign w:val="center"/>
            <w:textDirection w:val="lrTb"/>
            <w:noWrap w:val="false"/>
          </w:tcPr>
          <w:p>
            <w:pPr>
              <w:jc w:val="center"/>
              <w:rPr>
                <w:b/>
                <w:bCs/>
                <w:color w:val="auto"/>
                <w:szCs w:val="22"/>
                <w:highlight w:val="none"/>
                <w:lang w:val="zh-CN"/>
              </w:rPr>
            </w:pPr>
            <w:r>
              <w:rPr>
                <w:rFonts w:hint="eastAsia"/>
                <w:b/>
                <w:bCs/>
                <w:color w:val="auto"/>
                <w:szCs w:val="22"/>
                <w:highlight w:val="none"/>
              </w:rPr>
              <w:t xml:space="preserve">不见面开标</w:t>
            </w:r>
            <w:r/>
          </w:p>
        </w:tc>
        <w:tc>
          <w:tcPr>
            <w:gridSpan w:val="2"/>
            <w:tcW w:w="8584" w:type="dxa"/>
            <w:textDirection w:val="lrTb"/>
            <w:noWrap w:val="false"/>
          </w:tcPr>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本项目采用远程不见面交易模式，</w:t>
            </w:r>
            <w:r>
              <w:rPr>
                <w:rFonts w:hint="eastAsia" w:ascii="宋体" w:hAnsi="宋体" w:cs="宋体"/>
                <w:bCs/>
                <w:color w:val="auto"/>
                <w:sz w:val="24"/>
                <w:szCs w:val="21"/>
                <w:highlight w:val="none"/>
              </w:rPr>
              <w:t xml:space="preserve">通过“苏采云”</w:t>
            </w:r>
            <w:r>
              <w:rPr>
                <w:rFonts w:hint="eastAsia" w:ascii="宋体" w:hAnsi="宋体" w:cs="宋体"/>
                <w:bCs/>
                <w:color w:val="auto"/>
                <w:sz w:val="24"/>
                <w:szCs w:val="24"/>
                <w:highlight w:val="none"/>
              </w:rPr>
              <w:t xml:space="preserve">不见面交易系统及相应的配套硬件设备（摄像头、话筒、麦克风等）完成远程解密、开标现场异议及回复、开标唱标等交互环节。</w:t>
            </w:r>
            <w:r/>
          </w:p>
          <w:p>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不见面开标注意事项：</w:t>
            </w:r>
            <w:r/>
          </w:p>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1.1不见面开标项目的时间均以国家授时中心发布的时间为准；</w:t>
            </w:r>
            <w:r/>
          </w:p>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1.2开标当日，供应商不必抵达开标现场，仅需在任意地点通过“苏采云”系统“开标大厅”参与开标过程</w:t>
            </w:r>
            <w:r>
              <w:rPr>
                <w:rFonts w:hint="eastAsia"/>
                <w:color w:val="auto"/>
                <w:highlight w:val="none"/>
              </w:rPr>
              <w:t xml:space="preserve">；</w:t>
            </w:r>
            <w:r/>
          </w:p>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1.3未按时加入开标会议区并完成登录签到操作的或未能在开标会议区内全程参与交互的，视为放弃交互和放弃对开评标全过程提出质疑的权利，供应商将无法看到解密指令、异议回复等实时情况，并承担由此导致的一切后果；</w:t>
            </w:r>
            <w:r/>
          </w:p>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1.4响应文件递交截止时间后，采购人或采购代理机构将在系统内公布供应商名单，然后通过开标会议区发出响应文件解密的指令，供应商在各自地点按规定时间自行实施远程解密，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color w:val="auto"/>
                <w:sz w:val="24"/>
                <w:szCs w:val="24"/>
                <w:highlight w:val="none"/>
              </w:rPr>
              <w:t xml:space="preserve">供应商解密限定在解密时间开始30分钟内完成。</w:t>
            </w:r>
            <w:r>
              <w:rPr>
                <w:rFonts w:hint="eastAsia" w:ascii="宋体" w:hAnsi="宋体" w:cs="宋体"/>
                <w:bCs/>
                <w:color w:val="auto"/>
                <w:sz w:val="24"/>
                <w:szCs w:val="24"/>
                <w:highlight w:val="none"/>
              </w:rPr>
              <w:t xml:space="preserve">因供应商网络与电源不稳定、未按操作手册要求配置软硬件、解密锁发生故障或用错、故意不在要求时限内完成解密等自身</w:t>
            </w:r>
            <w:r>
              <w:rPr>
                <w:rFonts w:hint="eastAsia" w:ascii="宋体" w:hAnsi="宋体" w:cs="宋体"/>
                <w:bCs/>
                <w:color w:val="auto"/>
                <w:sz w:val="24"/>
                <w:szCs w:val="24"/>
                <w:highlight w:val="none"/>
              </w:rPr>
              <w:t xml:space="preserve">原因，导致响应文件在规定时间内未能解密、解密失败或解密超时，视为供应商撤销其响应文件；因电子交易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p>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在评审结束前，各供应商应当随时关注不见面开标大厅，并按照磋商小组澄清、报价等要求在规定时间内进行响应，且承担未及时作出响应的一切后果。参与远程交互的应当为授权委托人或法人代表，中途不得随意更换，作出响应的人员将均被视为是供应商的被授权委托人或法人代表。</w:t>
            </w:r>
            <w:r/>
          </w:p>
          <w:p>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2、采购活动时间：</w:t>
            </w:r>
            <w:r/>
          </w:p>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2.1提交首次响应文件截止时间及响应文件开启时间：详见本项目采购公告，采购公告中的截止时间为提交首次响应文件截止时间。</w:t>
            </w:r>
            <w:r/>
          </w:p>
          <w:p>
            <w:pPr>
              <w:pStyle w:val="915"/>
              <w:spacing w:line="440" w:lineRule="exact"/>
              <w:rPr>
                <w:rFonts w:hint="eastAsia" w:hAnsi="宋体" w:cs="宋体"/>
                <w:bCs/>
                <w:color w:val="auto"/>
                <w:szCs w:val="24"/>
                <w:highlight w:val="none"/>
              </w:rPr>
            </w:pPr>
            <w:r>
              <w:rPr>
                <w:rFonts w:hint="eastAsia" w:hAnsi="宋体" w:cs="宋体"/>
                <w:bCs/>
                <w:color w:val="auto"/>
                <w:szCs w:val="24"/>
                <w:highlight w:val="none"/>
              </w:rPr>
              <w:t xml:space="preserve">2.2确定成交供应商时间：评审结束后，详见成交结果公告。</w:t>
            </w:r>
            <w:r/>
          </w:p>
        </w:tc>
      </w:tr>
      <w:tr>
        <w:trPr>
          <w:jc w:val="center"/>
          <w:trHeight w:val="1875"/>
        </w:trPr>
        <w:tc>
          <w:tcPr>
            <w:tcW w:w="734" w:type="dxa"/>
            <w:vAlign w:val="center"/>
            <w:vMerge w:val="restart"/>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915" w:type="dxa"/>
            <w:vAlign w:val="center"/>
            <w:vMerge w:val="restart"/>
            <w:textDirection w:val="lrTb"/>
            <w:noWrap w:val="false"/>
          </w:tcPr>
          <w:p>
            <w:pPr>
              <w:jc w:val="center"/>
              <w:rPr>
                <w:rFonts w:hint="eastAsia"/>
                <w:b/>
                <w:bCs/>
                <w:color w:val="auto"/>
                <w:szCs w:val="22"/>
                <w:highlight w:val="none"/>
                <w:lang w:val="zh-CN"/>
              </w:rPr>
            </w:pPr>
            <w:r>
              <w:rPr>
                <w:rFonts w:hint="eastAsia"/>
                <w:b/>
                <w:bCs/>
                <w:color w:val="auto"/>
                <w:szCs w:val="22"/>
                <w:highlight w:val="none"/>
                <w:lang w:val="zh-CN"/>
              </w:rPr>
              <w:t xml:space="preserve">联系</w:t>
            </w:r>
            <w:r/>
          </w:p>
          <w:p>
            <w:pPr>
              <w:jc w:val="center"/>
              <w:rPr>
                <w:rFonts w:ascii="宋体"/>
                <w:b/>
                <w:bCs/>
                <w:color w:val="auto"/>
                <w:sz w:val="24"/>
                <w:szCs w:val="24"/>
                <w:highlight w:val="none"/>
              </w:rPr>
            </w:pPr>
            <w:r>
              <w:rPr>
                <w:rFonts w:hint="eastAsia"/>
                <w:b/>
                <w:bCs/>
                <w:color w:val="auto"/>
                <w:szCs w:val="22"/>
                <w:highlight w:val="none"/>
                <w:lang w:val="zh-CN"/>
              </w:rPr>
              <w:t xml:space="preserve">方式</w:t>
            </w:r>
            <w:r/>
          </w:p>
        </w:tc>
        <w:tc>
          <w:tcPr>
            <w:tcW w:w="2234" w:type="dxa"/>
            <w:vAlign w:val="center"/>
            <w:textDirection w:val="lrTb"/>
            <w:noWrap w:val="false"/>
          </w:tcPr>
          <w:p>
            <w:pPr>
              <w:ind w:firstLine="480"/>
              <w:spacing w:line="400" w:lineRule="exact"/>
              <w:rPr>
                <w:rFonts w:ascii="宋体"/>
                <w:bCs/>
                <w:color w:val="auto"/>
                <w:sz w:val="24"/>
                <w:szCs w:val="24"/>
                <w:highlight w:val="none"/>
              </w:rPr>
            </w:pPr>
            <w:r>
              <w:rPr>
                <w:rFonts w:hint="eastAsia" w:ascii="宋体"/>
                <w:bCs/>
                <w:color w:val="auto"/>
                <w:sz w:val="24"/>
                <w:szCs w:val="24"/>
                <w:highlight w:val="none"/>
              </w:rPr>
              <w:t xml:space="preserve">采购人</w:t>
            </w:r>
            <w:r/>
          </w:p>
        </w:tc>
        <w:tc>
          <w:tcPr>
            <w:tcW w:w="6350" w:type="dxa"/>
            <w:vAlign w:val="center"/>
            <w:textDirection w:val="lrTb"/>
            <w:noWrap w:val="false"/>
          </w:tcPr>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项目负责人：</w:t>
            </w:r>
            <w:r>
              <w:rPr>
                <w:rFonts w:hint="eastAsia" w:ascii="宋体" w:hAnsi="宋体" w:cs="宋体"/>
                <w:bCs/>
                <w:color w:val="auto"/>
                <w:sz w:val="24"/>
                <w:szCs w:val="24"/>
                <w:highlight w:val="none"/>
                <w:lang w:val="en-US" w:eastAsia="zh-CN"/>
              </w:rPr>
              <w:t xml:space="preserve">秦女士</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cs="宋体"/>
                <w:bCs/>
                <w:color w:val="auto"/>
                <w:sz w:val="24"/>
                <w:szCs w:val="24"/>
                <w:highlight w:val="none"/>
                <w:lang w:val="en-US" w:eastAsia="zh-CN"/>
              </w:rPr>
              <w:t xml:space="preserve">秦女士</w:t>
            </w:r>
            <w:r/>
          </w:p>
          <w:p>
            <w:pPr>
              <w:spacing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联系电话：0510-8792063</w:t>
            </w:r>
            <w:r>
              <w:rPr>
                <w:rFonts w:hint="eastAsia" w:ascii="宋体" w:hAnsi="宋体" w:cs="宋体"/>
                <w:bCs/>
                <w:color w:val="auto"/>
                <w:sz w:val="24"/>
                <w:szCs w:val="24"/>
                <w:highlight w:val="none"/>
                <w:lang w:val="en-US" w:eastAsia="zh-CN"/>
              </w:rPr>
              <w:t xml:space="preserve">2</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联系地址：宜兴市</w:t>
            </w:r>
            <w:r>
              <w:rPr>
                <w:rFonts w:hint="eastAsia" w:ascii="宋体" w:hAnsi="宋体" w:cs="宋体"/>
                <w:bCs/>
                <w:color w:val="auto"/>
                <w:sz w:val="24"/>
                <w:szCs w:val="24"/>
                <w:highlight w:val="none"/>
                <w:lang w:eastAsia="zh-CN"/>
              </w:rPr>
              <w:t xml:space="preserve">宜城街道</w:t>
            </w:r>
            <w:r>
              <w:rPr>
                <w:rFonts w:hint="eastAsia" w:ascii="宋体" w:hAnsi="宋体" w:cs="宋体"/>
                <w:bCs/>
                <w:color w:val="auto"/>
                <w:sz w:val="24"/>
                <w:szCs w:val="24"/>
                <w:highlight w:val="none"/>
              </w:rPr>
              <w:t xml:space="preserve">解放东路191号</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jc w:val="center"/>
          <w:trHeight w:val="1321"/>
        </w:trPr>
        <w:tc>
          <w:tcPr>
            <w:tcW w:w="734" w:type="dxa"/>
            <w:vAlign w:val="center"/>
            <w:vMerge w:val="continue"/>
            <w:textDirection w:val="lrTb"/>
            <w:noWrap w:val="false"/>
          </w:tcPr>
          <w:p>
            <w:pPr>
              <w:rPr>
                <w:color w:val="auto"/>
                <w:highlight w:val="none"/>
              </w:rPr>
            </w:pPr>
            <w:r>
              <w:rPr>
                <w:color w:val="auto"/>
                <w:highlight w:val="none"/>
              </w:rPr>
            </w:r>
            <w:r/>
          </w:p>
        </w:tc>
        <w:tc>
          <w:tcPr>
            <w:tcW w:w="915" w:type="dxa"/>
            <w:vAlign w:val="center"/>
            <w:vMerge w:val="continue"/>
            <w:textDirection w:val="lrTb"/>
            <w:noWrap w:val="false"/>
          </w:tcPr>
          <w:p>
            <w:pPr>
              <w:rPr>
                <w:color w:val="auto"/>
                <w:highlight w:val="none"/>
              </w:rPr>
            </w:pPr>
            <w:r>
              <w:rPr>
                <w:color w:val="auto"/>
                <w:highlight w:val="none"/>
              </w:rPr>
            </w:r>
            <w:r/>
          </w:p>
        </w:tc>
        <w:tc>
          <w:tcPr>
            <w:tcW w:w="2234" w:type="dxa"/>
            <w:vAlign w:val="center"/>
            <w:textDirection w:val="lrTb"/>
            <w:noWrap w:val="false"/>
          </w:tcPr>
          <w:p>
            <w:pPr>
              <w:jc w:val="center"/>
              <w:spacing w:line="400" w:lineRule="exact"/>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50" w:type="dxa"/>
            <w:vAlign w:val="center"/>
            <w:textDirection w:val="lrTb"/>
            <w:noWrap w:val="false"/>
          </w:tcPr>
          <w:p>
            <w:pPr>
              <w:spacing w:line="4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黄女士</w:t>
            </w:r>
            <w:r/>
          </w:p>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18036066058</w:t>
            </w:r>
            <w:r/>
          </w:p>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联系地址：</w:t>
            </w:r>
            <w:r>
              <w:rPr>
                <w:rFonts w:hint="eastAsia" w:ascii="宋体" w:hAnsi="宋体" w:cs="宋体"/>
                <w:bCs/>
                <w:color w:val="auto"/>
                <w:sz w:val="24"/>
                <w:szCs w:val="24"/>
                <w:highlight w:val="none"/>
                <w:lang w:val="en-US" w:eastAsia="zh-CN"/>
              </w:rPr>
              <w:t xml:space="preserve">宜兴市环科园绿园路108号</w:t>
            </w:r>
            <w:r/>
          </w:p>
          <w:p>
            <w:pPr>
              <w:spacing w:line="400" w:lineRule="exact"/>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jc w:val="center"/>
          <w:trHeight w:val="1321"/>
        </w:trPr>
        <w:tc>
          <w:tcPr>
            <w:tcW w:w="734" w:type="dxa"/>
            <w:vAlign w:val="center"/>
            <w:vMerge w:val="continue"/>
            <w:textDirection w:val="lrTb"/>
            <w:noWrap w:val="false"/>
          </w:tcPr>
          <w:p>
            <w:pPr>
              <w:rPr>
                <w:color w:val="auto"/>
                <w:highlight w:val="none"/>
              </w:rPr>
            </w:pPr>
            <w:r>
              <w:rPr>
                <w:color w:val="auto"/>
                <w:highlight w:val="none"/>
              </w:rPr>
            </w:r>
            <w:r/>
          </w:p>
        </w:tc>
        <w:tc>
          <w:tcPr>
            <w:tcW w:w="915" w:type="dxa"/>
            <w:vAlign w:val="center"/>
            <w:vMerge w:val="continue"/>
            <w:textDirection w:val="lrTb"/>
            <w:noWrap w:val="false"/>
          </w:tcPr>
          <w:p>
            <w:pPr>
              <w:rPr>
                <w:color w:val="auto"/>
                <w:highlight w:val="none"/>
              </w:rPr>
            </w:pPr>
            <w:r>
              <w:rPr>
                <w:color w:val="auto"/>
                <w:highlight w:val="none"/>
              </w:rPr>
            </w:r>
            <w:r/>
          </w:p>
        </w:tc>
        <w:tc>
          <w:tcPr>
            <w:tcW w:w="2234" w:type="dxa"/>
            <w:vAlign w:val="center"/>
            <w:textDirection w:val="lrTb"/>
            <w:noWrap w:val="false"/>
          </w:tcPr>
          <w:p>
            <w:pPr>
              <w:jc w:val="cente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50" w:type="dxa"/>
            <w:vAlign w:val="center"/>
            <w:textDirection w:val="lrTb"/>
            <w:noWrap w:val="false"/>
          </w:tcPr>
          <w:p>
            <w:pPr>
              <w:spacing w:line="400" w:lineRule="exact"/>
              <w:rPr>
                <w:rFonts w:hint="eastAsia" w:ascii="宋体" w:hAnsi="宋体" w:cs="宋体"/>
                <w:bCs/>
                <w:color w:val="auto"/>
                <w:sz w:val="24"/>
                <w:szCs w:val="24"/>
                <w:highlight w:val="none"/>
              </w:rPr>
            </w:pPr>
            <w:r>
              <w:rPr>
                <w:rFonts w:hint="eastAsia" w:ascii="宋体" w:hAnsi="宋体"/>
                <w:bCs/>
                <w:color w:val="auto"/>
                <w:sz w:val="24"/>
                <w:szCs w:val="24"/>
                <w:highlight w:val="none"/>
                <w:lang w:val="zh-CN"/>
              </w:rPr>
              <w:t xml:space="preserve">供应商在“苏采云”系统操作过程中如遇问题，请致电“苏采云”客服，联系电话：16651529117；或在“苏采云”系统中发起在线人工客服请求</w:t>
            </w:r>
            <w:r/>
          </w:p>
        </w:tc>
      </w:tr>
      <w:tr>
        <w:trPr>
          <w:jc w:val="center"/>
          <w:trHeight w:val="958"/>
        </w:trPr>
        <w:tc>
          <w:tcPr>
            <w:tcW w:w="734" w:type="dxa"/>
            <w:vAlign w:val="center"/>
            <w:vMerge w:val="continue"/>
            <w:textDirection w:val="lrTb"/>
            <w:noWrap w:val="false"/>
          </w:tcPr>
          <w:p>
            <w:pPr>
              <w:rPr>
                <w:color w:val="auto"/>
                <w:highlight w:val="none"/>
              </w:rPr>
            </w:pPr>
            <w:r>
              <w:rPr>
                <w:color w:val="auto"/>
                <w:highlight w:val="none"/>
              </w:rPr>
            </w:r>
            <w:r/>
          </w:p>
        </w:tc>
        <w:tc>
          <w:tcPr>
            <w:tcW w:w="915" w:type="dxa"/>
            <w:vAlign w:val="center"/>
            <w:vMerge w:val="continue"/>
            <w:textDirection w:val="lrTb"/>
            <w:noWrap w:val="false"/>
          </w:tcPr>
          <w:p>
            <w:pPr>
              <w:rPr>
                <w:color w:val="auto"/>
                <w:highlight w:val="none"/>
              </w:rPr>
            </w:pPr>
            <w:r>
              <w:rPr>
                <w:color w:val="auto"/>
                <w:highlight w:val="none"/>
              </w:rPr>
            </w:r>
            <w:r/>
          </w:p>
        </w:tc>
        <w:tc>
          <w:tcPr>
            <w:tcW w:w="2234" w:type="dxa"/>
            <w:vAlign w:val="center"/>
            <w:textDirection w:val="lrTb"/>
            <w:noWrap w:val="false"/>
          </w:tcPr>
          <w:p>
            <w:pPr>
              <w:jc w:val="cente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w:t>
            </w:r>
            <w:r/>
          </w:p>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部门</w:t>
            </w:r>
            <w:r/>
          </w:p>
        </w:tc>
        <w:tc>
          <w:tcPr>
            <w:tcW w:w="6350" w:type="dxa"/>
            <w:vAlign w:val="center"/>
            <w:textDirection w:val="lrTb"/>
            <w:noWrap w:val="false"/>
          </w:tcPr>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7" w:name="_Toc56600391"/>
      <w:r/>
      <w:bookmarkStart w:id="8" w:name="_Toc184189852"/>
      <w:r/>
      <w:bookmarkStart w:id="9" w:name="_Toc56599575"/>
      <w:r>
        <w:rPr>
          <w:rFonts w:hint="eastAsia" w:ascii="黑体" w:eastAsia="黑体"/>
          <w:color w:val="auto"/>
          <w:sz w:val="28"/>
          <w:highlight w:val="none"/>
        </w:rPr>
        <w:t xml:space="preserve">第二章 供应商须知</w:t>
      </w:r>
      <w:bookmarkEnd w:id="4"/>
      <w:r/>
      <w:bookmarkEnd w:id="7"/>
      <w:r/>
      <w:bookmarkEnd w:id="8"/>
      <w:r/>
      <w:bookmarkEnd w:id="9"/>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1.1 《中华人民共和国政府采购法》、《中华人民共和国政府采购法实施条例》、《政府采购竞争性磋商采购方式管理暂行办法》等有关法律、法规、规章和规定等。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80"/>
        <w:jc w:val="left"/>
        <w:spacing w:line="360" w:lineRule="auto"/>
        <w:rPr>
          <w:rFonts w:hint="eastAsia" w:ascii="宋体" w:hAnsi="宋体"/>
          <w:bCs/>
          <w:color w:val="auto"/>
          <w:sz w:val="24"/>
          <w:szCs w:val="24"/>
          <w:highlight w:val="none"/>
        </w:rPr>
      </w:pPr>
      <w:r>
        <w:rPr>
          <w:rFonts w:hint="eastAsia" w:ascii="宋体"/>
          <w:bCs/>
          <w:color w:val="auto"/>
          <w:sz w:val="24"/>
          <w:szCs w:val="24"/>
          <w:highlight w:val="none"/>
          <w:lang w:val="zh-CN"/>
        </w:rPr>
        <w:t xml:space="preserve">2.1 </w:t>
      </w:r>
      <w:r>
        <w:rPr>
          <w:rFonts w:hint="eastAsia" w:ascii="宋体" w:hAnsi="宋体"/>
          <w:bCs/>
          <w:color w:val="auto"/>
          <w:sz w:val="24"/>
          <w:szCs w:val="24"/>
          <w:highlight w:val="none"/>
          <w:lang w:val="zh-CN"/>
        </w:rPr>
        <w:t xml:space="preserve">“供应商”</w:t>
      </w:r>
      <w:r>
        <w:rPr>
          <w:rFonts w:hint="eastAsia" w:ascii="宋体" w:hAnsi="宋体"/>
          <w:bCs/>
          <w:color w:val="auto"/>
          <w:sz w:val="24"/>
          <w:szCs w:val="24"/>
          <w:highlight w:val="none"/>
        </w:rPr>
        <w:t xml:space="preserve">是指参加报价竞争，并符合磋商文件规定资格条件的法人、其他组织或者自然人；银行、保险、石油石化、电力、电信等有行业特殊情况的，可以以分支机构直接参加政府采购活动，其他行业分支机构通过总公司</w:t>
      </w:r>
      <w:bookmarkStart w:id="10" w:name="_Hlk164149911"/>
      <w:r>
        <w:rPr>
          <w:rFonts w:hint="eastAsia" w:ascii="宋体" w:hAnsi="宋体"/>
          <w:bCs/>
          <w:color w:val="auto"/>
          <w:sz w:val="24"/>
          <w:szCs w:val="24"/>
          <w:highlight w:val="none"/>
        </w:rPr>
        <w:t xml:space="preserve">有效</w:t>
      </w:r>
      <w:bookmarkEnd w:id="10"/>
      <w:r>
        <w:rPr>
          <w:rFonts w:hint="eastAsia" w:ascii="宋体" w:hAnsi="宋体"/>
          <w:bCs/>
          <w:color w:val="auto"/>
          <w:sz w:val="24"/>
          <w:szCs w:val="24"/>
          <w:highlight w:val="none"/>
        </w:rPr>
        <w:t xml:space="preserve">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r>
        <w:rPr>
          <w:rFonts w:hint="eastAsia" w:ascii="宋体"/>
          <w:bCs/>
          <w:color w:val="auto"/>
          <w:sz w:val="24"/>
          <w:szCs w:val="24"/>
          <w:highlight w:val="none"/>
          <w:lang w:val="zh-CN"/>
        </w:rPr>
        <w:t xml:space="preserve"> </w:t>
      </w:r>
      <w:r>
        <w:rPr>
          <w:rFonts w:ascii="宋体"/>
          <w:bCs/>
          <w:color w:val="auto"/>
          <w:sz w:val="24"/>
          <w:szCs w:val="24"/>
          <w:highlight w:val="none"/>
          <w:lang w:val="zh-CN"/>
        </w:rPr>
        <w:t xml:space="preserve"> </w:t>
      </w:r>
      <w:r/>
    </w:p>
    <w:p>
      <w:pPr>
        <w:ind w:firstLine="424"/>
        <w:spacing w:line="360" w:lineRule="auto"/>
        <w:rPr>
          <w:rFonts w:ascii="宋体"/>
          <w:bCs/>
          <w:color w:val="auto"/>
          <w:sz w:val="24"/>
          <w:szCs w:val="24"/>
          <w:highlight w:val="none"/>
        </w:rPr>
      </w:pPr>
      <w:r>
        <w:rPr>
          <w:rFonts w:ascii="宋体"/>
          <w:bCs/>
          <w:color w:val="auto"/>
          <w:sz w:val="24"/>
          <w:szCs w:val="24"/>
          <w:highlight w:val="none"/>
          <w:lang w:val="zh-CN"/>
        </w:rPr>
        <w:t xml:space="preserve"> </w:t>
      </w:r>
      <w:r>
        <w:rPr>
          <w:rFonts w:hint="eastAsia" w:ascii="宋体"/>
          <w:bCs/>
          <w:color w:val="auto"/>
          <w:sz w:val="24"/>
          <w:szCs w:val="24"/>
          <w:highlight w:val="none"/>
        </w:rPr>
        <w:t xml:space="preserve">2.2 </w:t>
      </w:r>
      <w:r>
        <w:rPr>
          <w:rFonts w:hint="eastAsia" w:ascii="宋体"/>
          <w:bCs/>
          <w:color w:val="auto"/>
          <w:sz w:val="24"/>
          <w:szCs w:val="24"/>
          <w:highlight w:val="none"/>
          <w:lang w:val="zh-CN"/>
        </w:rPr>
        <w:t xml:space="preserve">磋商文件中的“法定代表人”是指供应商的营业执照中的“法定代表人”、“执行事务合伙人”、“经营者”、“负责人”，若自然人报价即指自然人本人。</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“供应商（电子签章）”是指供应商的电子公章，自然人报价即指自然人私章或签名。</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 “服务”指本磋商文件中所述服务及相关产品。</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w:t>
      </w:r>
      <w:r>
        <w:rPr>
          <w:rFonts w:hint="eastAsia" w:ascii="宋体" w:hAnsi="宋体"/>
          <w:bCs/>
          <w:color w:val="auto"/>
          <w:sz w:val="24"/>
          <w:szCs w:val="24"/>
          <w:highlight w:val="none"/>
          <w:lang w:val="zh-CN"/>
        </w:rPr>
        <w:t xml:space="preserve"> “响应”指提交报价文件并对磋商文件提出的条件和要求进行实质性回应，采购公告及采购文件中的“投标”是指磋商报价，本采购文件中的“报价”除单独列明外均指项目总报价。</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“证明材料”指磋商文件中要求提供的相关材料且必须为有效的，即证明材料的完整性、真实性、出具方、有效期限、技术标准、认证范围等相关要求符合国家相关法律法规及磋商文件规定。</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“中小企业声明”指符合政府采购政策的供应商提供的《中小企业声明函》或《残疾人福利性单位声明函》或监狱企业的证明文件。</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2.9 “报价无效”指供应商提交的响应文件不符合磋商文件或不符合采购人要求的情况，按无效响应处理。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“评审因素”是指评审方法和标准中包括的价格因素、技术因素、商务因素等方面。</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“正偏离”指供应商提供的服务（货物）响应情况优于磋商文件要求；“负偏离”指供应商提供的服务（货物）响应情况劣于磋商文件要求。</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2.12 本磋商文件中的招标与采购、磋商文件与采购文件、报价无效与响应无效、产品与货物、优惠政策与扶持政策，分别为同一概念或意思。</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2.13本磋商文件中所称的“以上”、“以来”、“以下”、“不少于”、“不超过”，包括本数；所称的“不足”、“低于”、“高于”、“少于”、“超过”，不包括本数。</w:t>
      </w:r>
      <w:r/>
    </w:p>
    <w:p>
      <w:pPr>
        <w:ind w:firstLine="482"/>
        <w:spacing w:line="360" w:lineRule="auto"/>
        <w:rPr>
          <w:rFonts w:hint="eastAsia"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hint="eastAsia"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本项目为专门面向中小企业的项目，只面向中小企业采</w:t>
      </w:r>
      <w:r>
        <w:rPr>
          <w:rFonts w:hint="eastAsia" w:ascii="宋体" w:hAnsi="宋体" w:cs="宋体"/>
          <w:b/>
          <w:bCs w:val="0"/>
          <w:color w:val="auto"/>
          <w:sz w:val="24"/>
          <w:szCs w:val="24"/>
          <w:highlight w:val="none"/>
        </w:rPr>
        <w:t xml:space="preserve">购，</w:t>
      </w:r>
      <w:r>
        <w:rPr>
          <w:rFonts w:hint="eastAsia" w:ascii="宋体" w:hAnsi="宋体"/>
          <w:b/>
          <w:bCs w:val="0"/>
          <w:color w:val="auto"/>
          <w:sz w:val="24"/>
          <w:szCs w:val="24"/>
          <w:highlight w:val="none"/>
        </w:rPr>
        <w:t xml:space="preserve">且评审时不予报价扣除；</w:t>
      </w:r>
      <w:r>
        <w:rPr>
          <w:rFonts w:hint="eastAsia" w:ascii="宋体" w:hAnsi="宋体"/>
          <w:bCs/>
          <w:color w:val="auto"/>
          <w:sz w:val="24"/>
          <w:szCs w:val="24"/>
          <w:highlight w:val="none"/>
        </w:rPr>
        <w:t xml:space="preserve">对于非专门面向中小企业采购的项目，对符合规定的小微企业报价给予10%（工程项目为5%）的扣除,用扣除后的价格参与评审。</w:t>
      </w:r>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2"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2"/>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left="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3.2.4 可享受中小企业扶持政策的供应商应按照磋商文件要求提供中小企业声明，供应商提供的中小企业声明与实际情况不符的，不享受中小企业扶持政策。对提供《中小企业声明函》的供应商，应按照《中小企业声明函》格式准确完整填写相关内容，并明确企业类型（中型、小型或微型），否则中小企业声明函无效。新成立企业时间认定以相关部门颁发证书的发证、登记日期为准，应提供相关证书，否则不予认可。声明内容不实的，属于提供虚假材料谋取中标、成交的，应依法承担法律责任。</w:t>
      </w:r>
      <w:r/>
    </w:p>
    <w:p>
      <w:pPr>
        <w:ind w:left="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left="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left="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的项目，供应商未提供有效的中小企业声明，资格审查不予通过；对于非专门面向中小企业的项目，供应商未提供有效的中小企业声明，不享受政府采购小微企业优惠政策，即不给予小微企业报价扣除；若供应商同时为小微企业、残疾人福利性单位（或监狱企业），只享受一次针对小微企业的价格优惠。</w:t>
      </w:r>
      <w:r/>
    </w:p>
    <w:p>
      <w:pPr>
        <w:ind w:left="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left="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left="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3.4鼓励供应商在参加政府采购过程中开展绿色设计、选择绿色材料、打造绿色制造工艺、开展绿色运输、做好废弃产品回收处理，实现产品全周期的绿色环保。</w:t>
      </w:r>
      <w:r/>
    </w:p>
    <w:p>
      <w:pPr>
        <w:ind w:left="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3.5落实挥发性有机化合物（VOCs）治理要求，涉及涂料、胶黏剂、油墨、清洗剂等挥发性有机物产品的，属于强制性标准的，供应商应当执行国家和我省VOCs含量限制标准。</w:t>
      </w:r>
      <w:r/>
    </w:p>
    <w:p>
      <w:pPr>
        <w:ind w:left="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供应商应当根据需求标准提供相关设备和运维服务。</w:t>
      </w:r>
      <w:r/>
    </w:p>
    <w:p>
      <w:pPr>
        <w:ind w:left="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rPr>
        <w:t xml:space="preserve">4、报价费用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磋商文件中的货币单位均为人民币元。</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4</w:t>
      </w:r>
      <w:r>
        <w:rPr>
          <w:rFonts w:hint="eastAsia" w:ascii="宋体"/>
          <w:bCs/>
          <w:color w:val="000000" w:themeColor="text1"/>
          <w:sz w:val="24"/>
          <w:szCs w:val="24"/>
          <w:highlight w:val="none"/>
          <w14:textFill>
            <w14:solidFill>
              <w14:schemeClr w14:val="tx1"/>
            </w14:solidFill>
          </w14:textFill>
        </w:rPr>
        <w:t xml:space="preserve">.2供应商应自行承担所有与准备和参加报价有关的一切费用。</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b/>
          <w:bCs w:val="0"/>
          <w:color w:val="000000" w:themeColor="text1"/>
          <w:sz w:val="24"/>
          <w:szCs w:val="24"/>
          <w:highlight w:val="none"/>
          <w14:textFill>
            <w14:solidFill>
              <w14:schemeClr w14:val="tx1"/>
            </w14:solidFill>
          </w14:textFill>
        </w:rPr>
        <w:t xml:space="preserve">4.</w:t>
      </w:r>
      <w:r>
        <w:rPr>
          <w:rFonts w:ascii="宋体"/>
          <w:b/>
          <w:bCs w:val="0"/>
          <w:color w:val="000000" w:themeColor="text1"/>
          <w:sz w:val="24"/>
          <w:szCs w:val="24"/>
          <w:highlight w:val="none"/>
          <w14:textFill>
            <w14:solidFill>
              <w14:schemeClr w14:val="tx1"/>
            </w14:solidFill>
          </w14:textFill>
        </w:rPr>
        <w:t xml:space="preserve">3</w:t>
      </w:r>
      <w:r>
        <w:rPr>
          <w:rFonts w:ascii="宋体" w:hAnsi="宋体"/>
          <w:b/>
          <w:bCs/>
          <w:color w:val="000000" w:themeColor="text1"/>
          <w:sz w:val="24"/>
          <w:szCs w:val="24"/>
          <w:highlight w:val="none"/>
          <w14:textFill>
            <w14:solidFill>
              <w14:schemeClr w14:val="tx1"/>
            </w14:solidFill>
          </w14:textFill>
        </w:rPr>
        <w:t xml:space="preserve">本项目采购代理费由</w:t>
      </w:r>
      <w:r>
        <w:rPr>
          <w:rFonts w:hint="eastAsia" w:ascii="宋体" w:hAnsi="宋体"/>
          <w:b/>
          <w:bCs/>
          <w:color w:val="000000" w:themeColor="text1"/>
          <w:sz w:val="24"/>
          <w:szCs w:val="24"/>
          <w:highlight w:val="none"/>
          <w:lang w:eastAsia="zh-CN"/>
          <w14:textFill>
            <w14:solidFill>
              <w14:schemeClr w14:val="tx1"/>
            </w14:solidFill>
          </w14:textFill>
        </w:rPr>
        <w:t xml:space="preserve">中标单位</w:t>
      </w:r>
      <w:r>
        <w:rPr>
          <w:rFonts w:ascii="宋体" w:hAnsi="宋体"/>
          <w:b/>
          <w:bCs/>
          <w:color w:val="000000" w:themeColor="text1"/>
          <w:sz w:val="24"/>
          <w:szCs w:val="24"/>
          <w:highlight w:val="none"/>
          <w14:textFill>
            <w14:solidFill>
              <w14:schemeClr w14:val="tx1"/>
            </w14:solidFill>
          </w14:textFill>
        </w:rPr>
        <w:t xml:space="preserve">支付，在</w:t>
      </w:r>
      <w:r>
        <w:rPr>
          <w:rFonts w:hint="eastAsia" w:ascii="宋体" w:hAnsi="宋体"/>
          <w:b/>
          <w:bCs/>
          <w:color w:val="000000" w:themeColor="text1"/>
          <w:sz w:val="24"/>
          <w:szCs w:val="24"/>
          <w:highlight w:val="none"/>
          <w14:textFill>
            <w14:solidFill>
              <w14:schemeClr w14:val="tx1"/>
            </w14:solidFill>
          </w14:textFill>
        </w:rPr>
        <w:t xml:space="preserve">成交</w:t>
      </w:r>
      <w:r>
        <w:rPr>
          <w:rFonts w:ascii="宋体" w:hAnsi="宋体"/>
          <w:b/>
          <w:bCs/>
          <w:color w:val="000000" w:themeColor="text1"/>
          <w:sz w:val="24"/>
          <w:szCs w:val="24"/>
          <w:highlight w:val="none"/>
          <w14:textFill>
            <w14:solidFill>
              <w14:schemeClr w14:val="tx1"/>
            </w14:solidFill>
          </w14:textFill>
        </w:rPr>
        <w:t xml:space="preserve">通知书发放后一次性付清。本次</w:t>
      </w:r>
      <w:r>
        <w:rPr>
          <w:rFonts w:hint="eastAsia" w:ascii="宋体" w:hAnsi="宋体"/>
          <w:b/>
          <w:bCs/>
          <w:color w:val="000000" w:themeColor="text1"/>
          <w:sz w:val="24"/>
          <w:szCs w:val="24"/>
          <w:highlight w:val="none"/>
          <w14:textFill>
            <w14:solidFill>
              <w14:schemeClr w14:val="tx1"/>
            </w14:solidFill>
          </w14:textFill>
        </w:rPr>
        <w:t xml:space="preserve">采购</w:t>
      </w:r>
      <w:r>
        <w:rPr>
          <w:rFonts w:ascii="宋体" w:hAnsi="宋体"/>
          <w:b/>
          <w:bCs/>
          <w:color w:val="000000" w:themeColor="text1"/>
          <w:sz w:val="24"/>
          <w:szCs w:val="24"/>
          <w:highlight w:val="none"/>
          <w14:textFill>
            <w14:solidFill>
              <w14:schemeClr w14:val="tx1"/>
            </w14:solidFill>
          </w14:textFill>
        </w:rPr>
        <w:t xml:space="preserve">代理费</w:t>
      </w:r>
      <w:r>
        <w:rPr>
          <w:rFonts w:hint="eastAsia" w:ascii="宋体" w:hAnsi="宋体"/>
          <w:b/>
          <w:bCs/>
          <w:color w:val="000000" w:themeColor="text1"/>
          <w:sz w:val="24"/>
          <w:szCs w:val="24"/>
          <w:highlight w:val="none"/>
          <w14:textFill>
            <w14:solidFill>
              <w14:schemeClr w14:val="tx1"/>
            </w14:solidFill>
          </w14:textFill>
        </w:rPr>
        <w:t xml:space="preserve">收费</w:t>
      </w:r>
      <w:r>
        <w:rPr>
          <w:rFonts w:hint="eastAsia" w:ascii="宋体" w:hAnsi="宋体" w:eastAsia="宋体" w:cs="Times New Roman"/>
          <w:b/>
          <w:bCs w:val="0"/>
          <w:color w:val="000000" w:themeColor="text1"/>
          <w:sz w:val="24"/>
          <w:szCs w:val="24"/>
          <w:highlight w:val="none"/>
          <w:lang w:val="zh-CN"/>
          <w14:textFill>
            <w14:solidFill>
              <w14:schemeClr w14:val="tx1"/>
            </w14:solidFill>
          </w14:textFill>
        </w:rPr>
        <w:t xml:space="preserve">以</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Times New Roman"/>
          <w:b/>
          <w:bCs w:val="0"/>
          <w:color w:val="000000" w:themeColor="text1"/>
          <w:sz w:val="24"/>
          <w:szCs w:val="24"/>
          <w:highlight w:val="none"/>
          <w:lang w:val="zh-CN"/>
          <w14:textFill>
            <w14:solidFill>
              <w14:schemeClr w14:val="tx1"/>
            </w14:solidFill>
          </w14:textFill>
        </w:rPr>
        <w:t xml:space="preserve">金额为计算基数，按照100万元内*1.5%</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计算后</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的70%</w:t>
      </w:r>
      <w:r>
        <w:rPr>
          <w:rFonts w:hint="eastAsia" w:ascii="宋体" w:hAnsi="宋体"/>
          <w:b/>
          <w:bCs/>
          <w:color w:val="000000" w:themeColor="text1"/>
          <w:sz w:val="24"/>
          <w:szCs w:val="24"/>
          <w:highlight w:val="none"/>
          <w14:textFill>
            <w14:solidFill>
              <w14:schemeClr w14:val="tx1"/>
            </w14:solidFill>
          </w14:textFill>
        </w:rPr>
        <w:t xml:space="preserve">计取，</w:t>
      </w:r>
      <w:r>
        <w:rPr>
          <w:rFonts w:ascii="宋体" w:hAnsi="宋体"/>
          <w:b/>
          <w:bCs/>
          <w:color w:val="000000" w:themeColor="text1"/>
          <w:sz w:val="24"/>
          <w:szCs w:val="24"/>
          <w:highlight w:val="none"/>
          <w14:textFill>
            <w14:solidFill>
              <w14:schemeClr w14:val="tx1"/>
            </w14:solidFill>
          </w14:textFill>
        </w:rPr>
        <w:t xml:space="preserve">供应商必须将该部分费用考虑在报价内。</w:t>
      </w:r>
      <w:r/>
    </w:p>
    <w:p>
      <w:pPr>
        <w:ind w:firstLine="482"/>
        <w:spacing w:line="360" w:lineRule="auto"/>
        <w:rPr>
          <w:rFonts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4.4</w:t>
      </w:r>
      <w:r>
        <w:rPr>
          <w:rFonts w:hint="eastAsia" w:ascii="宋体" w:hAnsi="宋体" w:cs="宋体"/>
          <w:b/>
          <w:bCs w:val="0"/>
          <w:color w:val="000000" w:themeColor="text1"/>
          <w:sz w:val="24"/>
          <w:szCs w:val="24"/>
          <w:highlight w:val="none"/>
          <w14:textFill>
            <w14:solidFill>
              <w14:schemeClr w14:val="tx1"/>
            </w14:solidFill>
          </w14:textFill>
        </w:rPr>
        <w:t xml:space="preserve">本项目专家评审费用由采购人支付,在评审结束后按规定支付。</w:t>
      </w:r>
      <w:r/>
    </w:p>
    <w:p>
      <w:pPr>
        <w:ind w:left="482"/>
        <w:spacing w:line="360" w:lineRule="auto"/>
        <w:rPr>
          <w:rFonts w:ascii="宋体"/>
          <w:b/>
          <w:color w:val="auto"/>
          <w:sz w:val="24"/>
          <w:szCs w:val="24"/>
          <w:highlight w:val="none"/>
        </w:rPr>
      </w:pPr>
      <w:r>
        <w:rPr>
          <w:rFonts w:hint="eastAsia" w:ascii="宋体"/>
          <w:b/>
          <w:color w:val="auto"/>
          <w:sz w:val="24"/>
          <w:szCs w:val="24"/>
          <w:highlight w:val="none"/>
        </w:rPr>
        <w:t xml:space="preserve">5、保密要求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二、磋商文件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6、</w:t>
      </w:r>
      <w:r>
        <w:rPr>
          <w:rFonts w:hint="eastAsia" w:ascii="宋体"/>
          <w:b/>
          <w:color w:val="auto"/>
          <w:sz w:val="24"/>
          <w:szCs w:val="24"/>
          <w:highlight w:val="none"/>
          <w:lang w:val="zh-CN"/>
        </w:rPr>
        <w:t xml:space="preserve">磋商文件的组成</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6.1 供应商应登录“苏采云” 系统下载磋商文件(后缀名为“.kedt”)。供应商须按磋商文件要求提交资料并对磋商文件相关内容作出实质性响应，否则报价无效。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磋商文件包括采购公告和本文件目录所列全部内容及其附件，如有缺漏，请立即与采购人或者采购代理机构联系解决。</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6.3 磋商文件如与竞争性磋商公告有不一致的地方，以磋商文件为准；电子响应文件制作客户端工具中电子响应文件格式、说明与磋商文件格式、说明不一致的，以磋商文件格式、说明为准。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7、</w:t>
      </w:r>
      <w:r>
        <w:rPr>
          <w:rFonts w:hint="eastAsia" w:ascii="宋体"/>
          <w:b/>
          <w:color w:val="auto"/>
          <w:sz w:val="24"/>
          <w:szCs w:val="24"/>
          <w:highlight w:val="none"/>
          <w:lang w:val="zh-CN"/>
        </w:rPr>
        <w:t xml:space="preserve">磋商文件的解释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本磋商文件“第三章 项目技术要求和有关说明”和“第四章 评审方法和标准”由采购人负责解释，其他部分由采购人和采购代理机构负责解释。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8、</w:t>
      </w:r>
      <w:r>
        <w:rPr>
          <w:rFonts w:hint="eastAsia" w:ascii="宋体"/>
          <w:b/>
          <w:color w:val="auto"/>
          <w:sz w:val="24"/>
          <w:szCs w:val="24"/>
          <w:highlight w:val="none"/>
          <w:lang w:val="zh-CN"/>
        </w:rPr>
        <w:t xml:space="preserve">磋商文件的澄清、修改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发出的磋商文件进行必要澄清或者修改的，将在提交响应文件截止之日</w:t>
      </w:r>
      <w:r>
        <w:rPr>
          <w:rFonts w:hint="eastAsia" w:ascii="宋体"/>
          <w:color w:val="auto"/>
          <w:sz w:val="24"/>
          <w:szCs w:val="21"/>
          <w:highlight w:val="none"/>
        </w:rPr>
        <w:t xml:space="preserve">5日</w:t>
      </w:r>
      <w:r>
        <w:rPr>
          <w:rFonts w:hint="eastAsia" w:ascii="宋体"/>
          <w:color w:val="auto"/>
          <w:sz w:val="24"/>
          <w:szCs w:val="21"/>
          <w:highlight w:val="none"/>
          <w:lang w:val="zh-CN"/>
        </w:rPr>
        <w:t xml:space="preserve">前，在原竞争性磋商公告媒体发布更正公告，并在系统中通知所有已获取磋商文件的潜在供应商, 供应商应登录系统查看相应内容。不足</w:t>
      </w:r>
      <w:r>
        <w:rPr>
          <w:rFonts w:hint="eastAsia" w:ascii="宋体"/>
          <w:color w:val="auto"/>
          <w:sz w:val="24"/>
          <w:szCs w:val="21"/>
          <w:highlight w:val="none"/>
        </w:rPr>
        <w:t xml:space="preserve">5日的，</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有权决定是否顺延提交响应文件截止时间和采购活动开始时间，该澄清或者修改的内容为磋商文件的组成部分。</w:t>
      </w:r>
      <w:r>
        <w:rPr>
          <w:rFonts w:hint="eastAsia" w:ascii="宋体" w:hAnsi="宋体"/>
          <w:bCs/>
          <w:color w:val="auto"/>
          <w:sz w:val="24"/>
          <w:szCs w:val="24"/>
          <w:highlight w:val="none"/>
          <w:lang w:val="zh-CN"/>
        </w:rPr>
        <w:t xml:space="preserve">以最新发布的补充更正、澄清和修改后的磋商文件、公告信息为准。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磋商文件的，供应商应下载最新发布的电子磋商文件制作响应文件。因供应商未及时关注澄清更正公告、未及时更新上传响应文件导致其提交的响应文件不符合要求的，造成的损失及风险由供应商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三、响应文件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9、响应文件的组成</w:t>
      </w:r>
      <w:r>
        <w:rPr>
          <w:rFonts w:hint="eastAsia" w:ascii="宋体"/>
          <w:b/>
          <w:color w:val="auto"/>
          <w:sz w:val="24"/>
          <w:szCs w:val="24"/>
          <w:highlight w:val="none"/>
          <w:lang w:val="zh-CN"/>
        </w:rPr>
        <w:t xml:space="preserve">：</w:t>
      </w:r>
      <w:r>
        <w:rPr>
          <w:rFonts w:ascii="宋体"/>
          <w:b/>
          <w:color w:val="auto"/>
          <w:sz w:val="24"/>
          <w:szCs w:val="24"/>
          <w:highlight w:val="none"/>
        </w:rPr>
        <w:t xml:space="preserve"> </w:t>
      </w:r>
      <w:r/>
    </w:p>
    <w:p>
      <w:pPr>
        <w:ind w:firstLine="480"/>
        <w:jc w:val="left"/>
        <w:spacing w:line="360" w:lineRule="auto"/>
        <w:rPr>
          <w:rFonts w:hint="eastAsia" w:ascii="宋体" w:hAnsi="宋体"/>
          <w:bCs/>
          <w:color w:val="auto"/>
          <w:sz w:val="24"/>
          <w:szCs w:val="21"/>
          <w:highlight w:val="none"/>
          <w:lang w:val="zh-CN"/>
        </w:rPr>
      </w:pPr>
      <w:r/>
      <w:bookmarkStart w:id="13" w:name="OLE_LINK8"/>
      <w:r>
        <w:rPr>
          <w:rFonts w:hint="eastAsia" w:ascii="宋体" w:hAnsi="宋体"/>
          <w:bCs/>
          <w:color w:val="auto"/>
          <w:sz w:val="24"/>
          <w:szCs w:val="21"/>
          <w:highlight w:val="none"/>
          <w:lang w:val="zh-CN"/>
        </w:rPr>
        <w:t xml:space="preserve">（1）磋商报价表</w:t>
      </w:r>
      <w:bookmarkEnd w:id="13"/>
      <w:r/>
      <w:r/>
    </w:p>
    <w:p>
      <w:pPr>
        <w:pStyle w:val="904"/>
        <w:ind w:left="400" w:firstLine="165"/>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w:t>
      </w:r>
      <w:bookmarkStart w:id="14" w:name="OLE_LINK6"/>
      <w:r>
        <w:rPr>
          <w:rFonts w:hint="eastAsia" w:ascii="宋体" w:hAnsi="宋体"/>
          <w:b/>
          <w:bCs w:val="0"/>
          <w:color w:val="auto"/>
          <w:sz w:val="24"/>
          <w:szCs w:val="24"/>
          <w:highlight w:val="none"/>
          <w:lang w:val="zh-CN"/>
        </w:rPr>
        <w:t xml:space="preserve">资格声明函</w:t>
      </w:r>
      <w:bookmarkEnd w:id="14"/>
      <w:r>
        <w:rPr>
          <w:rFonts w:hint="eastAsia" w:ascii="宋体" w:hAnsi="宋体"/>
          <w:bCs/>
          <w:color w:val="auto"/>
          <w:sz w:val="24"/>
          <w:szCs w:val="24"/>
          <w:highlight w:val="none"/>
          <w:lang w:val="zh-CN"/>
        </w:rPr>
        <w:t xml:space="preserve">：</w:t>
      </w:r>
      <w:bookmarkStart w:id="15" w:name="OLE_LINK7"/>
      <w:r/>
      <w:bookmarkStart w:id="16" w:name="_Hlk151448601"/>
      <w:r>
        <w:rPr>
          <w:rFonts w:hint="eastAsia" w:ascii="宋体" w:hAnsi="宋体"/>
          <w:bCs/>
          <w:color w:val="auto"/>
          <w:sz w:val="24"/>
          <w:szCs w:val="24"/>
          <w:highlight w:val="none"/>
          <w:lang w:val="zh-CN"/>
        </w:rPr>
        <w:t xml:space="preserve">提供《关于资格的声明函》</w:t>
      </w:r>
      <w:bookmarkEnd w:id="15"/>
      <w:r>
        <w:rPr>
          <w:rFonts w:hint="eastAsia" w:ascii="宋体" w:hAnsi="宋体"/>
          <w:bCs/>
          <w:color w:val="auto"/>
          <w:sz w:val="24"/>
          <w:szCs w:val="24"/>
          <w:highlight w:val="none"/>
          <w:lang w:val="zh-CN"/>
        </w:rPr>
        <w:t xml:space="preserve">；</w:t>
      </w:r>
      <w:bookmarkEnd w:id="16"/>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w:t>
      </w:r>
      <w:bookmarkStart w:id="17" w:name="OLE_LINK9"/>
      <w:r>
        <w:rPr>
          <w:rFonts w:hint="eastAsia" w:ascii="宋体" w:hAnsi="宋体"/>
          <w:b/>
          <w:bCs w:val="0"/>
          <w:color w:val="auto"/>
          <w:sz w:val="24"/>
          <w:szCs w:val="24"/>
          <w:highlight w:val="none"/>
          <w:lang w:val="zh-CN"/>
        </w:rPr>
        <w:t xml:space="preserve">被授权代表身份证明1</w:t>
      </w:r>
      <w:bookmarkStart w:id="18" w:name="_Hlk163378222"/>
      <w:r>
        <w:rPr>
          <w:rFonts w:hint="eastAsia" w:ascii="宋体" w:hAnsi="宋体"/>
          <w:b/>
          <w:bCs w:val="0"/>
          <w:color w:val="auto"/>
          <w:sz w:val="24"/>
          <w:szCs w:val="24"/>
          <w:highlight w:val="none"/>
          <w:lang w:val="zh-CN"/>
        </w:rPr>
        <w:t xml:space="preserve">（授权委托书）</w:t>
      </w:r>
      <w:bookmarkEnd w:id="17"/>
      <w:r/>
      <w:bookmarkEnd w:id="18"/>
      <w:r>
        <w:rPr>
          <w:rFonts w:hint="eastAsia" w:ascii="宋体" w:hAnsi="宋体"/>
          <w:bCs/>
          <w:color w:val="auto"/>
          <w:sz w:val="24"/>
          <w:szCs w:val="24"/>
          <w:highlight w:val="none"/>
          <w:lang w:val="zh-CN"/>
        </w:rPr>
        <w:t xml:space="preserve">：提供供应商法定代表人授权委托书（法定代表人亲自参加的无需提供）；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w:t>
      </w:r>
      <w:bookmarkStart w:id="19" w:name="OLE_LINK10"/>
      <w:r>
        <w:rPr>
          <w:rFonts w:hint="eastAsia" w:ascii="宋体" w:hAnsi="宋体"/>
          <w:b/>
          <w:bCs w:val="0"/>
          <w:color w:val="auto"/>
          <w:sz w:val="24"/>
          <w:szCs w:val="24"/>
          <w:highlight w:val="none"/>
          <w:lang w:val="zh-CN"/>
        </w:rPr>
        <w:t xml:space="preserve">被授权代表身份证明2（社保）</w:t>
      </w:r>
      <w:bookmarkEnd w:id="19"/>
      <w:r>
        <w:rPr>
          <w:rFonts w:hint="eastAsia" w:ascii="宋体" w:hAnsi="宋体"/>
          <w:bCs/>
          <w:color w:val="auto"/>
          <w:sz w:val="24"/>
          <w:szCs w:val="24"/>
          <w:highlight w:val="none"/>
          <w:lang w:val="zh-CN"/>
        </w:rPr>
        <w:t xml:space="preserve">：</w:t>
      </w:r>
      <w:bookmarkStart w:id="20"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0"/>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w:t>
      </w:r>
      <w:bookmarkStart w:id="21" w:name="OLE_LINK11"/>
      <w:r>
        <w:rPr>
          <w:rFonts w:hint="eastAsia" w:ascii="宋体" w:hAnsi="宋体"/>
          <w:b/>
          <w:bCs w:val="0"/>
          <w:color w:val="auto"/>
          <w:sz w:val="24"/>
          <w:szCs w:val="24"/>
          <w:highlight w:val="none"/>
          <w:lang w:val="zh-CN"/>
        </w:rPr>
        <w:t xml:space="preserve">具有独立承担民事责任的能力</w:t>
      </w:r>
      <w:bookmarkEnd w:id="21"/>
      <w:r>
        <w:rPr>
          <w:rFonts w:hint="eastAsia" w:ascii="宋体" w:hAnsi="宋体"/>
          <w:bCs/>
          <w:color w:val="auto"/>
          <w:sz w:val="24"/>
          <w:szCs w:val="24"/>
          <w:highlight w:val="none"/>
          <w:lang w:val="zh-CN"/>
        </w:rPr>
        <w:t xml:space="preserve">：提供供应商营业执照或法人（登记）证书，供应商为自然人的提供自然人身份证；</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w:t>
      </w:r>
      <w:bookmarkStart w:id="22" w:name="OLE_LINK13"/>
      <w:r>
        <w:rPr>
          <w:rFonts w:hint="eastAsia" w:ascii="宋体" w:hAnsi="宋体"/>
          <w:b/>
          <w:bCs w:val="0"/>
          <w:color w:val="auto"/>
          <w:sz w:val="24"/>
          <w:szCs w:val="24"/>
          <w:highlight w:val="none"/>
          <w:lang w:val="zh-CN"/>
        </w:rPr>
        <w:t xml:space="preserve">具有良好的商业信誉和健全的财务会计制度</w:t>
      </w:r>
      <w:bookmarkEnd w:id="22"/>
      <w:r>
        <w:rPr>
          <w:rFonts w:hint="eastAsia" w:ascii="宋体" w:hAnsi="宋体"/>
          <w:bCs/>
          <w:color w:val="auto"/>
          <w:sz w:val="24"/>
          <w:szCs w:val="24"/>
          <w:highlight w:val="none"/>
          <w:lang w:val="zh-CN"/>
        </w:rPr>
        <w:t xml:space="preserve">：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w:t>
      </w:r>
      <w:r>
        <w:rPr>
          <w:rFonts w:hint="eastAsia" w:ascii="宋体" w:hAnsi="宋体"/>
          <w:b/>
          <w:bCs w:val="0"/>
          <w:color w:val="auto"/>
          <w:sz w:val="24"/>
          <w:szCs w:val="24"/>
          <w:highlight w:val="none"/>
          <w:lang w:val="zh-CN"/>
        </w:rPr>
        <w:t xml:space="preserve">有依法缴纳税收的良好记录</w:t>
      </w:r>
      <w:r>
        <w:rPr>
          <w:rFonts w:hint="eastAsia" w:ascii="宋体" w:hAnsi="宋体"/>
          <w:bCs/>
          <w:color w:val="auto"/>
          <w:sz w:val="24"/>
          <w:szCs w:val="24"/>
          <w:highlight w:val="none"/>
          <w:lang w:val="zh-CN"/>
        </w:rPr>
        <w:t xml:space="preserve">：供应商依法缴纳近十二个月中任意一个月份税收的相关材料（提供相关主管部门证明或银行代扣证明）；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w:t>
      </w:r>
      <w:r>
        <w:rPr>
          <w:rFonts w:hint="eastAsia" w:ascii="宋体" w:hAnsi="宋体"/>
          <w:b/>
          <w:bCs w:val="0"/>
          <w:color w:val="auto"/>
          <w:sz w:val="24"/>
          <w:szCs w:val="24"/>
          <w:highlight w:val="none"/>
          <w:lang w:val="zh-CN"/>
        </w:rPr>
        <w:t xml:space="preserve">有依法缴纳社会保障资金的良好记录</w:t>
      </w:r>
      <w:r>
        <w:rPr>
          <w:rFonts w:hint="eastAsia" w:ascii="宋体" w:hAnsi="宋体"/>
          <w:bCs/>
          <w:color w:val="auto"/>
          <w:sz w:val="24"/>
          <w:szCs w:val="24"/>
          <w:highlight w:val="none"/>
          <w:lang w:val="zh-CN"/>
        </w:rPr>
        <w:t xml:space="preserve">：供应商依法缴纳近十二个月中任意一个月份社会保障资金的相关材料（提供相关主管部门证明或银行代扣证明）；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w:t>
      </w:r>
      <w:r>
        <w:rPr>
          <w:rFonts w:hint="eastAsia" w:ascii="宋体" w:hAnsi="宋体"/>
          <w:b/>
          <w:bCs w:val="0"/>
          <w:color w:val="auto"/>
          <w:sz w:val="24"/>
          <w:szCs w:val="24"/>
          <w:highlight w:val="none"/>
          <w:lang w:val="zh-CN"/>
        </w:rPr>
        <w:t xml:space="preserve">无不良信用记录</w:t>
      </w:r>
      <w:r>
        <w:rPr>
          <w:rFonts w:hint="eastAsia" w:ascii="宋体" w:hAnsi="宋体"/>
          <w:bCs/>
          <w:color w:val="auto"/>
          <w:sz w:val="24"/>
          <w:szCs w:val="24"/>
          <w:highlight w:val="none"/>
          <w:lang w:val="zh-CN"/>
        </w:rPr>
        <w:t xml:space="preserve">：</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若供应商企业信息已录入以上网站的，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若供应商企业信息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录入以上网站的，以供应商</w:t>
      </w:r>
      <w:bookmarkStart w:id="23" w:name="_Hlk139976635"/>
      <w:r>
        <w:rPr>
          <w:rFonts w:hint="eastAsia" w:ascii="宋体" w:hAnsi="宋体"/>
          <w:bCs/>
          <w:color w:val="auto"/>
          <w:sz w:val="24"/>
          <w:szCs w:val="24"/>
          <w:highlight w:val="none"/>
          <w:lang w:val="zh-CN"/>
        </w:rPr>
        <w:t xml:space="preserve">提供的资格声明函中作出的无不良信用记录承诺为准</w:t>
      </w:r>
      <w:bookmarkEnd w:id="23"/>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24" w:name="_Hlk151448642"/>
      <w:r>
        <w:rPr>
          <w:rFonts w:hint="eastAsia" w:ascii="宋体" w:hAnsi="宋体"/>
          <w:bCs/>
          <w:color w:val="auto"/>
          <w:sz w:val="24"/>
          <w:szCs w:val="24"/>
          <w:highlight w:val="none"/>
          <w:lang w:val="zh-CN"/>
        </w:rPr>
        <w:t xml:space="preserve">⑨联合体：如采购人要求组成联合体或采购人允许组成联合体且供应商组成联合体的，应提供有效的联合体协议书，否则无需提供； </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⑩分包：如采购人要求分包或采购人允许分包且供应商有分包意向的，应提供有效的分包情况说明，否则无需提供；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ascii="Cambria Math" w:hAnsi="Cambria Math" w:cs="Cambria Math"/>
          <w:bCs/>
          <w:color w:val="auto"/>
          <w:sz w:val="24"/>
          <w:szCs w:val="24"/>
          <w:highlight w:val="none"/>
          <w:lang w:val="zh-CN"/>
        </w:rPr>
        <w:t xml:space="preserve">⑪</w:t>
      </w:r>
      <w:r>
        <w:rPr>
          <w:rFonts w:hint="eastAsia" w:ascii="宋体" w:hAnsi="宋体"/>
          <w:bCs/>
          <w:color w:val="auto"/>
          <w:sz w:val="24"/>
          <w:szCs w:val="24"/>
          <w:highlight w:val="none"/>
          <w:lang w:val="zh-CN"/>
        </w:rPr>
        <w:t xml:space="preserve">中小企业声明：如专门面向中小企业采购的，供应商应提供有效的《中小企业声明函》或《残疾人福利性单位声明函》或监狱企业的证明文件，否则此处无需提供； </w:t>
      </w:r>
      <w:bookmarkEnd w:id="24"/>
      <w:r/>
    </w:p>
    <w:p>
      <w:pPr>
        <w:ind w:firstLine="482"/>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b/>
          <w:bCs/>
          <w:color w:val="auto"/>
          <w:sz w:val="24"/>
          <w:szCs w:val="24"/>
          <w:highlight w:val="none"/>
        </w:rPr>
        <w:t xml:space="preserve">注：以上近六个月、近十二个月是从提交响应文件截止日向前推算（不含响应文件提交截止当月）；</w:t>
      </w:r>
      <w:bookmarkStart w:id="25"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5"/>
      <w:r>
        <w:rPr>
          <w:rFonts w:hint="eastAsia" w:ascii="宋体" w:hAnsi="宋体"/>
          <w:bCs/>
          <w:color w:val="auto"/>
          <w:sz w:val="24"/>
          <w:szCs w:val="24"/>
          <w:highlight w:val="none"/>
        </w:rPr>
        <w:t xml:space="preserve">前三年是从提交响应文件截止日（含）向前推算，一年按3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供应商</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r/>
    </w:p>
    <w:p>
      <w:pPr>
        <w:ind w:left="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①响应函</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②明细报价表</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③项目技术要求偏离表</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④项目人员配置清单</w:t>
      </w:r>
      <w:r/>
    </w:p>
    <w:p>
      <w:pPr>
        <w:ind w:left="482"/>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rPr>
        <w:t xml:space="preserve">（5）其他相关材料</w:t>
      </w:r>
      <w:r/>
    </w:p>
    <w:p>
      <w:pPr>
        <w:ind w:firstLine="480"/>
        <w:spacing w:line="360" w:lineRule="auto"/>
        <w:rPr>
          <w:rFonts w:ascii="宋体"/>
          <w:b/>
          <w:color w:val="auto"/>
          <w:sz w:val="24"/>
          <w:szCs w:val="24"/>
          <w:highlight w:val="none"/>
        </w:rPr>
      </w:pPr>
      <w:r>
        <w:rPr>
          <w:rFonts w:hint="eastAsia" w:ascii="宋体"/>
          <w:bCs/>
          <w:color w:val="auto"/>
          <w:sz w:val="24"/>
          <w:szCs w:val="24"/>
          <w:highlight w:val="none"/>
        </w:rPr>
        <w:t xml:space="preserve">上述（2）和（3）内容供应商应按要求提供有效证明材料，否则报价无效，相关材料格式见“第六章 响应文件（格式）”。若未提供被授权代表授权委托书及社保证明的，视为供应商法定代表人亲自参加。如上述资格证明文件遇年检、换证，则必须提供法定年检、换证单位出具的有效证明。具有良好的商业信誉和健全的财务会计制度仅针对供应商为非自然人。如上述“（2）资格条件”第③、</w:t>
      </w:r>
      <w:r>
        <w:rPr>
          <w:rFonts w:hint="eastAsia" w:ascii="宋体"/>
          <w:bCs/>
          <w:color w:val="auto"/>
          <w:sz w:val="24"/>
          <w:szCs w:val="24"/>
          <w:highlight w:val="none"/>
        </w:rPr>
        <w:t xml:space="preserve">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审依据。供应商在响应文件中提交的以人事代理、控股子公司等代收代缴形式缴纳社保的证明，属于无效证明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10、报价</w:t>
      </w:r>
      <w:r/>
    </w:p>
    <w:p>
      <w:pPr>
        <w:ind w:firstLine="480"/>
        <w:spacing w:line="360" w:lineRule="auto"/>
        <w:rPr>
          <w:rFonts w:hint="eastAsia" w:ascii="宋体" w:hAnsi="宋体"/>
          <w:bCs/>
          <w:color w:val="auto"/>
          <w:sz w:val="24"/>
          <w:szCs w:val="24"/>
          <w:highlight w:val="none"/>
          <w:lang w:val="zh-CN"/>
        </w:rPr>
      </w:pPr>
      <w:r/>
      <w:bookmarkStart w:id="26" w:name="OLE_LINK14"/>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采购活动均以人民币报价。供应商的报价应遵守《中华人民共和国价格法》。同时，根据《中华人民共和国政府采购法》第二条的规定，为保证公平竞争，如有货物主体部分的赠与行为，其报价将被认定为无效报价。</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10.2 报价应包含完成本服务项目发生的所有含税费用、支付给员工的工资和国家强制缴纳的各种社会保障资金，以及供应商认为需要的其他费用等。</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供应商所报的各分项单价在合同履行过程中是固定不变的，不得以任何理由予以变更。任何包含价格调整要求的报价，将被认定为无效报价。</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10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每种服务及货物只能有一个报价。采购人不接受具有附加条件的报价。</w:t>
      </w:r>
      <w:bookmarkEnd w:id="26"/>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11、响应文件的制作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11.1 所有文件、往来函件均应使用简体中文（规格、型号辅助符号例外）。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11.2 供应商所使用的计量单位应为国家法定计量单位。</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11.3 如供应商对磋商文件的相关内容有不同意见的偏离，应在响应文件中详细说明偏离的情况，如未明确作出偏离情况的说明，则视同供应商承诺实质性响应磋商文件的要求。</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11.4 不因响应文件的装订、纸张、文件排序等非实质性的格式、形式而否决</w:t>
      </w:r>
      <w:r>
        <w:rPr>
          <w:rFonts w:hint="eastAsia" w:ascii="宋体" w:hAnsi="宋体"/>
          <w:bCs/>
          <w:color w:val="auto"/>
          <w:sz w:val="24"/>
          <w:szCs w:val="24"/>
          <w:highlight w:val="none"/>
        </w:rPr>
        <w:t xml:space="preserve">响应。本磋商文件中要求提供相关证明材料的，原则上供应商在响应文件中提交相关证明材料原件扫描件,若供应商无法提供原件扫描件的，可以以电子照片、截图等其他方式提供。无论以何种方式提供的证明材料，彩色、黑白均认可，但必须保证证明材料的清晰完整、真实有效，否则由供应商自行承担证明材料被判定为无效的风险。供应商提供的相关材料中的相关名称、表述等与采购需求、评审标准不一致，磋商小组认为其实质相同的视作等同。若供应商提交的响应文件格式与磋商文件中的不一致，但必要的评审所需信息不影响评审判断的，视为符合要求，否则报价无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11.5供应商提交的响应文件中加盖的公章，均视为经供应商法定代表人同意或授权。</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2</w:t>
      </w:r>
      <w:r>
        <w:rPr>
          <w:rFonts w:hint="eastAsia" w:ascii="宋体" w:hAnsi="宋体"/>
          <w:b/>
          <w:color w:val="auto"/>
          <w:sz w:val="24"/>
          <w:szCs w:val="24"/>
          <w:highlight w:val="none"/>
          <w:lang w:val="zh-CN"/>
        </w:rPr>
        <w:t xml:space="preserve">、电子响应文件</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12.1 </w:t>
      </w:r>
      <w:r>
        <w:rPr>
          <w:rFonts w:hint="eastAsia" w:ascii="宋体" w:hAnsi="宋体"/>
          <w:bCs/>
          <w:color w:val="auto"/>
          <w:sz w:val="24"/>
          <w:szCs w:val="24"/>
          <w:highlight w:val="none"/>
          <w:lang w:val="zh-CN"/>
        </w:rPr>
        <w:t xml:space="preserve">供应商应通过响应文件制作软件使用数字认证证书对响应文件进行合成、电子签章及加密打包，并</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磋商文件</w:t>
      </w:r>
      <w:r>
        <w:rPr>
          <w:rFonts w:ascii="宋体" w:hAnsi="宋体"/>
          <w:bCs/>
          <w:color w:val="auto"/>
          <w:sz w:val="24"/>
          <w:szCs w:val="24"/>
          <w:highlight w:val="none"/>
          <w:lang w:val="zh-CN"/>
        </w:rPr>
        <w:t xml:space="preserve">规定的截止时间前，通过</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编制软件或登录“苏采云”系统在规定时间内完成提交，时间以电子交易平台时间为准。</w:t>
      </w:r>
      <w:r>
        <w:rPr>
          <w:rFonts w:hint="eastAsia" w:ascii="宋体" w:hAnsi="宋体"/>
          <w:bCs/>
          <w:color w:val="auto"/>
          <w:sz w:val="24"/>
          <w:szCs w:val="24"/>
          <w:highlight w:val="none"/>
          <w:lang w:val="zh-CN"/>
        </w:rPr>
        <w:t xml:space="preserve">具体流程如下：将后缀名为“.kedt”的磋商文件导入政府采购客户端工具--制作响应文件--导出加密的响应文件(后缀名为zip) --通过“苏采云”系统上传响应文件。（详见《江苏省政府采购交易系统（苏采云）供应商操作手册》）</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，“苏采云”平台将拒绝接收。供应商应充分考虑网络环境、网络带宽等风险因素。 </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12.3 提交完成后至解密前，供应商不能对加密响应文件时所使用的数字认证证书进行更新、续费，否则可能引起的</w:t>
      </w:r>
      <w:r>
        <w:rPr>
          <w:rFonts w:hint="eastAsia" w:ascii="宋体" w:hAnsi="宋体"/>
          <w:bCs/>
          <w:color w:val="auto"/>
          <w:sz w:val="24"/>
          <w:szCs w:val="24"/>
          <w:highlight w:val="none"/>
          <w:lang w:val="zh-CN"/>
        </w:rPr>
        <w:t xml:space="preserve">响应文件</w:t>
      </w:r>
      <w:r>
        <w:rPr>
          <w:rFonts w:ascii="宋体" w:hAnsi="宋体"/>
          <w:bCs/>
          <w:color w:val="auto"/>
          <w:sz w:val="24"/>
          <w:szCs w:val="24"/>
          <w:highlight w:val="none"/>
          <w:lang w:val="zh-CN"/>
        </w:rPr>
        <w:t xml:space="preserve">解密失败等相关后果由供应商自行承担（友情提示：若</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已领取副锁（含多把副锁）请注意正副锁的使用差别）。 </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因不可抗力事件造成的（线上、线下）响应文件的损坏、丢失的，采购代理不承担责任。 </w:t>
      </w:r>
      <w:r/>
    </w:p>
    <w:p>
      <w:pPr>
        <w:ind w:left="1" w:firstLine="482"/>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3</w:t>
      </w:r>
      <w:r>
        <w:rPr>
          <w:rFonts w:hint="eastAsia" w:ascii="宋体" w:hAnsi="宋体"/>
          <w:b/>
          <w:color w:val="auto"/>
          <w:sz w:val="24"/>
          <w:szCs w:val="24"/>
          <w:highlight w:val="none"/>
          <w:lang w:val="zh-CN"/>
        </w:rPr>
        <w:t xml:space="preserve">、响应文件的拒收</w:t>
      </w:r>
      <w:r>
        <w:rPr>
          <w:rFonts w:hint="eastAsia" w:ascii="宋体" w:hAnsi="宋体"/>
          <w:bCs/>
          <w:color w:val="auto"/>
          <w:sz w:val="24"/>
          <w:szCs w:val="24"/>
          <w:highlight w:val="none"/>
          <w:lang w:val="zh-CN"/>
        </w:rPr>
        <w:t xml:space="preserve">：在磋商文件要求的提交截止时间之后提交的响应文件和磋商文件规定拒收情形的将被拒收。</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4</w:t>
      </w:r>
      <w:r>
        <w:rPr>
          <w:rFonts w:hint="eastAsia" w:ascii="宋体" w:hAnsi="宋体"/>
          <w:b/>
          <w:color w:val="auto"/>
          <w:sz w:val="24"/>
          <w:szCs w:val="24"/>
          <w:highlight w:val="none"/>
          <w:lang w:val="zh-CN"/>
        </w:rPr>
        <w:t xml:space="preserve">、响应文件的真实性</w:t>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供应商（含成交供应商）应对其响应文件中提供的所有材料的真实性负责。</w:t>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27" w:name="OLE_LINK31"/>
      <w:r>
        <w:rPr>
          <w:rFonts w:hint="eastAsia" w:ascii="宋体" w:hAnsi="宋体"/>
          <w:color w:val="auto"/>
          <w:sz w:val="24"/>
          <w:szCs w:val="28"/>
          <w:highlight w:val="none"/>
        </w:rPr>
        <w:t xml:space="preserve">如采购人、采购代理机构、磋商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27"/>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15、响应文件的有效期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响应文件的有效期为提交响应文件截止之日起的60天（含截止当日）。在特殊情况下，采购人、采购代理机构可与供应商协商延长响应文件的有效期。</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16、响应文件的退还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w:t>
      </w:r>
      <w:bookmarkStart w:id="28" w:name="OLE_LINK272"/>
      <w:r>
        <w:rPr>
          <w:rFonts w:hint="eastAsia" w:ascii="宋体" w:hAnsi="宋体"/>
          <w:bCs/>
          <w:color w:val="auto"/>
          <w:sz w:val="24"/>
          <w:szCs w:val="24"/>
          <w:highlight w:val="none"/>
          <w:lang w:val="zh-CN"/>
        </w:rPr>
        <w:t xml:space="preserve">提交响应文件截止时间</w:t>
      </w:r>
      <w:r>
        <w:rPr>
          <w:rFonts w:hint="eastAsia" w:ascii="宋体" w:hAnsi="宋体"/>
          <w:bCs/>
          <w:color w:val="auto"/>
          <w:sz w:val="24"/>
          <w:szCs w:val="24"/>
          <w:highlight w:val="none"/>
        </w:rPr>
        <w:t xml:space="preserve">后，采购人和</w:t>
      </w:r>
      <w:bookmarkEnd w:id="28"/>
      <w:r>
        <w:rPr>
          <w:rFonts w:hint="eastAsia" w:ascii="宋体" w:hAnsi="宋体"/>
          <w:bCs/>
          <w:color w:val="auto"/>
          <w:sz w:val="24"/>
          <w:szCs w:val="24"/>
          <w:highlight w:val="none"/>
        </w:rPr>
        <w:t xml:space="preserve">采购代理机构对所有供应商的响应文件一律不予退还。</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17、响应文件的补充、修改或撤回</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供应商在提交响应文件截止时间前，可以对所提交的响应文件进行</w:t>
      </w:r>
      <w:bookmarkStart w:id="29" w:name="OLE_LINK12"/>
      <w:r>
        <w:rPr>
          <w:rFonts w:hint="eastAsia" w:ascii="宋体" w:hAnsi="宋体"/>
          <w:bCs/>
          <w:color w:val="auto"/>
          <w:sz w:val="24"/>
          <w:szCs w:val="24"/>
          <w:highlight w:val="none"/>
          <w:lang w:val="zh-CN"/>
        </w:rPr>
        <w:t xml:space="preserve">补充、修改或撤回</w:t>
      </w:r>
      <w:bookmarkEnd w:id="29"/>
      <w:r>
        <w:rPr>
          <w:rFonts w:hint="eastAsia" w:ascii="宋体" w:hAnsi="宋体"/>
          <w:bCs/>
          <w:color w:val="auto"/>
          <w:sz w:val="24"/>
          <w:szCs w:val="24"/>
          <w:highlight w:val="none"/>
          <w:lang w:val="zh-CN"/>
        </w:rPr>
        <w:t xml:space="preserve">。补充、修改的内容应当按照磋商文件要求签署、盖章后，并作为响应文件的组成部分。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17.2 在提交响应文件截止时间之后，采购人、采购代理机构、磋商小组不接受供应商主动对其响应文件做任何补充、修改。</w:t>
      </w:r>
      <w:r/>
    </w:p>
    <w:p>
      <w:pPr>
        <w:ind w:firstLine="482"/>
        <w:jc w:val="left"/>
        <w:widowControl/>
        <w:rPr>
          <w:rFonts w:hint="eastAsia" w:ascii="宋体" w:hAnsi="宋体"/>
          <w:bCs/>
          <w:color w:val="auto"/>
          <w:sz w:val="24"/>
          <w:szCs w:val="24"/>
          <w:highlight w:val="none"/>
        </w:rPr>
      </w:pPr>
      <w:r>
        <w:rPr>
          <w:rFonts w:hint="eastAsia" w:ascii="宋体"/>
          <w:b/>
          <w:color w:val="auto"/>
          <w:sz w:val="24"/>
          <w:szCs w:val="24"/>
          <w:highlight w:val="none"/>
        </w:rPr>
        <w:t xml:space="preserve">18、</w:t>
      </w:r>
      <w:r>
        <w:rPr>
          <w:rFonts w:hint="eastAsia" w:ascii="宋体"/>
          <w:b/>
          <w:color w:val="auto"/>
          <w:sz w:val="24"/>
          <w:szCs w:val="24"/>
          <w:highlight w:val="none"/>
          <w:lang w:val="zh-CN"/>
        </w:rPr>
        <w:t xml:space="preserve">无效报价的确认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供应商有下列情况之一者，其报价无效：</w:t>
      </w:r>
      <w:r/>
    </w:p>
    <w:p>
      <w:pPr>
        <w:numPr>
          <w:ilvl w:val="0"/>
          <w:numId w:val="1"/>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30" w:name="_Hlk160720948"/>
      <w:r>
        <w:rPr>
          <w:rFonts w:hint="eastAsia" w:ascii="宋体" w:hAnsi="宋体" w:cs="宋体"/>
          <w:color w:val="auto"/>
          <w:sz w:val="24"/>
          <w:szCs w:val="24"/>
          <w:highlight w:val="none"/>
        </w:rPr>
        <w:t xml:space="preserve">响应文件未按磋商文件</w:t>
      </w:r>
      <w:r>
        <w:rPr>
          <w:rFonts w:hint="eastAsia" w:ascii="宋体" w:hAnsi="宋体" w:cs="宋体"/>
          <w:bCs/>
          <w:color w:val="auto"/>
          <w:sz w:val="24"/>
          <w:szCs w:val="24"/>
          <w:highlight w:val="none"/>
        </w:rPr>
        <w:t xml:space="preserve">规定签署或盖章的；</w:t>
      </w:r>
      <w:bookmarkEnd w:id="30"/>
      <w:r/>
      <w:r/>
    </w:p>
    <w:p>
      <w:pPr>
        <w:numPr>
          <w:ilvl w:val="0"/>
          <w:numId w:val="1"/>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不具备磋商文件中“供应商参加本次政府采购活动</w:t>
      </w:r>
      <w:r>
        <w:rPr>
          <w:rFonts w:hint="eastAsia" w:ascii="宋体" w:hAnsi="宋体" w:cs="宋体"/>
          <w:color w:val="auto"/>
          <w:sz w:val="24"/>
          <w:szCs w:val="24"/>
          <w:highlight w:val="none"/>
          <w:lang w:val="zh-CN"/>
        </w:rPr>
        <w:t xml:space="preserve">应具备的资格条件</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lang w:val="zh-CN"/>
        </w:rPr>
        <w:t xml:space="preserve">或未按磋商文件规定的要求提供有效资格证明文件的；</w:t>
      </w:r>
      <w:r/>
    </w:p>
    <w:p>
      <w:pPr>
        <w:numPr>
          <w:ilvl w:val="0"/>
          <w:numId w:val="1"/>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响应文件中有采购文件未允许提供的选择性内容的</w:t>
      </w:r>
      <w:r/>
    </w:p>
    <w:p>
      <w:pPr>
        <w:numPr>
          <w:ilvl w:val="0"/>
          <w:numId w:val="1"/>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响应文件含有采购人不能接受的附加条件的；</w:t>
      </w:r>
      <w:r/>
    </w:p>
    <w:p>
      <w:pPr>
        <w:numPr>
          <w:ilvl w:val="0"/>
          <w:numId w:val="1"/>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报价</w:t>
      </w:r>
      <w:r>
        <w:rPr>
          <w:rFonts w:hint="eastAsia" w:ascii="宋体" w:hAnsi="宋体" w:cs="宋体"/>
          <w:color w:val="auto"/>
          <w:sz w:val="24"/>
          <w:szCs w:val="24"/>
          <w:highlight w:val="none"/>
        </w:rPr>
        <w:t xml:space="preserve">超过磋商文件中规定的</w:t>
      </w:r>
      <w:bookmarkStart w:id="31"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31"/>
      <w:r>
        <w:rPr>
          <w:rFonts w:hint="eastAsia" w:ascii="宋体" w:hAnsi="宋体" w:cs="宋体"/>
          <w:color w:val="auto"/>
          <w:sz w:val="24"/>
          <w:szCs w:val="24"/>
          <w:highlight w:val="none"/>
        </w:rPr>
        <w:t xml:space="preserve">预算金额或者最高限价的</w:t>
      </w:r>
      <w:r>
        <w:rPr>
          <w:rFonts w:hint="eastAsia" w:ascii="宋体" w:hAnsi="宋体" w:cs="宋体"/>
          <w:color w:val="auto"/>
          <w:sz w:val="24"/>
          <w:szCs w:val="24"/>
          <w:highlight w:val="none"/>
          <w:lang w:val="zh-CN"/>
        </w:rPr>
        <w:t xml:space="preserve">；</w:t>
      </w:r>
      <w:r/>
    </w:p>
    <w:p>
      <w:pPr>
        <w:numPr>
          <w:ilvl w:val="0"/>
          <w:numId w:val="1"/>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响应文件报价</w:t>
      </w:r>
      <w:r>
        <w:rPr>
          <w:rFonts w:hint="eastAsia" w:ascii="宋体" w:hAnsi="宋体" w:cs="宋体"/>
          <w:color w:val="auto"/>
          <w:sz w:val="24"/>
          <w:szCs w:val="24"/>
          <w:highlight w:val="none"/>
        </w:rPr>
        <w:t xml:space="preserve">出现前后不一致，且供应商拒绝修正的；</w:t>
      </w:r>
      <w:r/>
    </w:p>
    <w:p>
      <w:pPr>
        <w:numPr>
          <w:ilvl w:val="0"/>
          <w:numId w:val="1"/>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评标委员会认定投标人的报价明显低于其他通过符合性审查投标人的报价，有可能影响产品质量或者不能诚信履约的，评审委员会将启动异常低价投标审查程序。投标人不能应评标委员会要求在给定的合理时间内提供说明(必要时评标委员会可以要求投标人提交相关证明材料)，或者提供的书面说明、证明材料不能证明其报价合理性的</w:t>
      </w:r>
      <w:r>
        <w:rPr>
          <w:rFonts w:hint="eastAsia" w:ascii="宋体" w:hAnsi="宋体"/>
          <w:bCs/>
          <w:color w:val="auto"/>
          <w:sz w:val="24"/>
          <w:szCs w:val="24"/>
          <w:highlight w:val="none"/>
        </w:rPr>
        <w:t xml:space="preserve">；</w:t>
      </w:r>
      <w:r/>
    </w:p>
    <w:p>
      <w:pPr>
        <w:numPr>
          <w:ilvl w:val="0"/>
          <w:numId w:val="1"/>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bCs/>
          <w:color w:val="auto"/>
          <w:sz w:val="24"/>
          <w:szCs w:val="24"/>
          <w:highlight w:val="none"/>
        </w:rPr>
        <w:t xml:space="preserve">属于磋商文件“不得参加本次采购活动”的供应商的；</w:t>
      </w:r>
      <w:r/>
    </w:p>
    <w:p>
      <w:pPr>
        <w:numPr>
          <w:ilvl w:val="0"/>
          <w:numId w:val="1"/>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已提交响应文件的供应商，在提交最后报价之前，退出磋商的或未提交最终报价的；</w:t>
      </w:r>
      <w:r/>
    </w:p>
    <w:p>
      <w:pPr>
        <w:numPr>
          <w:ilvl w:val="0"/>
          <w:numId w:val="1"/>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与其他供应商串通报价的，包括但不限于以下几种情况：</w:t>
      </w:r>
      <w:r/>
    </w:p>
    <w:p>
      <w:pPr>
        <w:numPr>
          <w:ilvl w:val="0"/>
          <w:numId w:val="2"/>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不同供应商的响应文件由同一单位或者个人编制</w:t>
      </w:r>
      <w:r>
        <w:rPr>
          <w:rFonts w:hint="eastAsia" w:ascii="宋体" w:hAnsi="宋体"/>
          <w:bCs/>
          <w:color w:val="auto"/>
          <w:sz w:val="24"/>
          <w:szCs w:val="24"/>
          <w:highlight w:val="none"/>
          <w:lang w:val="zh-CN"/>
        </w:rPr>
        <w:t xml:space="preserve">；</w:t>
      </w:r>
      <w:r/>
    </w:p>
    <w:p>
      <w:pPr>
        <w:numPr>
          <w:ilvl w:val="0"/>
          <w:numId w:val="2"/>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不同供应商委托同一单位或者个人办理报价事宜</w:t>
      </w:r>
      <w:r>
        <w:rPr>
          <w:rFonts w:hint="eastAsia" w:ascii="宋体" w:hAnsi="宋体"/>
          <w:bCs/>
          <w:color w:val="auto"/>
          <w:sz w:val="24"/>
          <w:szCs w:val="24"/>
          <w:highlight w:val="none"/>
          <w:lang w:val="zh-CN"/>
        </w:rPr>
        <w:t xml:space="preserve">；</w:t>
      </w:r>
      <w:r/>
    </w:p>
    <w:p>
      <w:pPr>
        <w:numPr>
          <w:ilvl w:val="0"/>
          <w:numId w:val="2"/>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不同供应商的响应文件载明的项目管理成员或者联系人员为同一人</w:t>
      </w:r>
      <w:r>
        <w:rPr>
          <w:rFonts w:hint="eastAsia" w:ascii="宋体" w:hAnsi="宋体"/>
          <w:bCs/>
          <w:color w:val="auto"/>
          <w:sz w:val="24"/>
          <w:szCs w:val="24"/>
          <w:highlight w:val="none"/>
          <w:lang w:val="zh-CN"/>
        </w:rPr>
        <w:t xml:space="preserve">；</w:t>
      </w:r>
      <w:r/>
    </w:p>
    <w:p>
      <w:pPr>
        <w:numPr>
          <w:ilvl w:val="0"/>
          <w:numId w:val="2"/>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不同供应商的响应文件异常一致或者报价呈规律性差异</w:t>
      </w:r>
      <w:r>
        <w:rPr>
          <w:rFonts w:hint="eastAsia" w:ascii="宋体" w:hAnsi="宋体"/>
          <w:bCs/>
          <w:color w:val="auto"/>
          <w:sz w:val="24"/>
          <w:szCs w:val="24"/>
          <w:highlight w:val="none"/>
          <w:lang w:val="zh-CN"/>
        </w:rPr>
        <w:t xml:space="preserve">；</w:t>
      </w:r>
      <w:r/>
    </w:p>
    <w:p>
      <w:pPr>
        <w:numPr>
          <w:ilvl w:val="0"/>
          <w:numId w:val="2"/>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不同供应商的响应文件相互混装</w:t>
      </w:r>
      <w:r>
        <w:rPr>
          <w:rFonts w:hint="eastAsia" w:ascii="宋体" w:hAnsi="宋体"/>
          <w:bCs/>
          <w:color w:val="auto"/>
          <w:sz w:val="24"/>
          <w:szCs w:val="24"/>
          <w:highlight w:val="none"/>
          <w:lang w:val="zh-CN"/>
        </w:rPr>
        <w:t xml:space="preserve">。</w:t>
      </w:r>
      <w:r/>
    </w:p>
    <w:p>
      <w:pPr>
        <w:numPr>
          <w:ilvl w:val="0"/>
          <w:numId w:val="1"/>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bookmarkStart w:id="32" w:name="OLE_LINK134"/>
      <w:r>
        <w:rPr>
          <w:rFonts w:hint="eastAsia" w:ascii="宋体" w:hAnsi="宋体" w:cs="宋体"/>
          <w:color w:val="auto"/>
          <w:sz w:val="24"/>
          <w:szCs w:val="24"/>
          <w:highlight w:val="none"/>
          <w:lang w:val="zh-CN"/>
        </w:rPr>
        <w:t xml:space="preserve">提供虚假材料</w:t>
      </w:r>
      <w:bookmarkStart w:id="33" w:name="OLE_LINK137"/>
      <w:r>
        <w:rPr>
          <w:rFonts w:hint="eastAsia" w:ascii="宋体" w:hAnsi="宋体" w:cs="宋体"/>
          <w:color w:val="auto"/>
          <w:sz w:val="24"/>
          <w:szCs w:val="24"/>
          <w:highlight w:val="none"/>
          <w:lang w:val="zh-CN"/>
        </w:rPr>
        <w:t xml:space="preserve">（含虚假承诺）</w:t>
      </w:r>
      <w:bookmarkEnd w:id="33"/>
      <w:r>
        <w:rPr>
          <w:rFonts w:hint="eastAsia" w:ascii="宋体" w:hAnsi="宋体" w:cs="宋体"/>
          <w:color w:val="auto"/>
          <w:sz w:val="24"/>
          <w:szCs w:val="24"/>
          <w:highlight w:val="none"/>
          <w:lang w:val="zh-CN"/>
        </w:rPr>
        <w:t xml:space="preserve">的</w:t>
      </w:r>
      <w:bookmarkEnd w:id="32"/>
      <w:r>
        <w:rPr>
          <w:rFonts w:hint="eastAsia" w:ascii="宋体" w:hAnsi="宋体" w:cs="宋体"/>
          <w:color w:val="auto"/>
          <w:sz w:val="24"/>
          <w:szCs w:val="24"/>
          <w:highlight w:val="none"/>
          <w:lang w:val="zh-CN"/>
        </w:rPr>
        <w:t xml:space="preserve">；</w:t>
      </w:r>
      <w:r/>
    </w:p>
    <w:p>
      <w:pPr>
        <w:numPr>
          <w:ilvl w:val="0"/>
          <w:numId w:val="1"/>
        </w:numPr>
        <w:jc w:val="left"/>
        <w:spacing w:line="360" w:lineRule="auto"/>
        <w:tabs>
          <w:tab w:val="clear" w:pos="0" w:leader="none"/>
          <w:tab w:val="left" w:pos="425" w:leader="none"/>
        </w:tabs>
        <w:rPr>
          <w:rFonts w:hint="eastAsia" w:ascii="宋体" w:hAnsi="宋体" w:cs="宋体"/>
          <w:color w:val="auto"/>
          <w:sz w:val="24"/>
          <w:szCs w:val="24"/>
          <w:highlight w:val="none"/>
          <w:lang w:val="zh-CN"/>
        </w:rPr>
      </w:pPr>
      <w:r/>
      <w:bookmarkStart w:id="34" w:name="_Hlk162444543"/>
      <w:r>
        <w:rPr>
          <w:rFonts w:hint="eastAsia" w:ascii="宋体" w:hAnsi="宋体" w:cs="宋体"/>
          <w:color w:val="auto"/>
          <w:sz w:val="24"/>
          <w:szCs w:val="24"/>
          <w:highlight w:val="none"/>
          <w:lang w:val="zh-CN"/>
        </w:rPr>
        <w:t xml:space="preserve">响应文件</w:t>
      </w:r>
      <w:bookmarkStart w:id="35" w:name="_Hlk162444294"/>
      <w:r>
        <w:rPr>
          <w:rFonts w:hint="eastAsia" w:ascii="宋体" w:hAnsi="宋体" w:cs="宋体"/>
          <w:bCs/>
          <w:color w:val="auto"/>
          <w:sz w:val="24"/>
          <w:szCs w:val="24"/>
          <w:highlight w:val="none"/>
          <w:lang w:val="zh-CN"/>
        </w:rPr>
        <w:t xml:space="preserve">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3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w:t>
      </w:r>
      <w:r>
        <w:rPr>
          <w:rFonts w:hint="eastAsia" w:ascii="宋体" w:hAnsi="宋体"/>
          <w:bCs/>
          <w:color w:val="auto"/>
          <w:sz w:val="24"/>
          <w:szCs w:val="24"/>
          <w:highlight w:val="none"/>
        </w:rPr>
        <w:t xml:space="preserve">磋商文件</w:t>
      </w:r>
      <w:r>
        <w:rPr>
          <w:rFonts w:hint="eastAsia" w:ascii="宋体" w:hAnsi="宋体" w:cs="宋体"/>
          <w:bCs/>
          <w:color w:val="auto"/>
          <w:sz w:val="24"/>
          <w:szCs w:val="24"/>
          <w:highlight w:val="none"/>
          <w:lang w:val="zh-CN"/>
        </w:rPr>
        <w:t xml:space="preserve">中规定的实质性要求，其中之一的</w:t>
      </w:r>
      <w:bookmarkEnd w:id="34"/>
      <w:r/>
      <w:bookmarkEnd w:id="35"/>
      <w:r/>
      <w:bookmarkEnd w:id="36"/>
      <w:r>
        <w:rPr>
          <w:rFonts w:hint="eastAsia" w:ascii="宋体" w:hAnsi="宋体" w:cs="宋体"/>
          <w:color w:val="auto"/>
          <w:sz w:val="24"/>
          <w:szCs w:val="24"/>
          <w:highlight w:val="none"/>
          <w:lang w:val="zh-CN"/>
        </w:rPr>
        <w:t xml:space="preserve">；</w:t>
      </w:r>
      <w:r/>
    </w:p>
    <w:p>
      <w:pPr>
        <w:numPr>
          <w:ilvl w:val="0"/>
          <w:numId w:val="1"/>
        </w:numPr>
        <w:jc w:val="left"/>
        <w:spacing w:line="360" w:lineRule="auto"/>
        <w:tabs>
          <w:tab w:val="clear" w:pos="0" w:leader="none"/>
          <w:tab w:val="left" w:pos="425" w:leader="none"/>
        </w:tabs>
        <w:rPr>
          <w:rFonts w:hint="eastAsia" w:ascii="宋体" w:hAnsi="宋体"/>
          <w:color w:val="auto"/>
          <w:sz w:val="24"/>
          <w:szCs w:val="28"/>
          <w:highlight w:val="none"/>
        </w:rPr>
      </w:pPr>
      <w:r>
        <w:rPr>
          <w:rFonts w:hint="eastAsia" w:ascii="宋体" w:hAnsi="宋体" w:cs="宋体"/>
          <w:color w:val="auto"/>
          <w:sz w:val="24"/>
          <w:szCs w:val="24"/>
          <w:highlight w:val="none"/>
          <w:lang w:val="zh-CN"/>
        </w:rPr>
        <w:t xml:space="preserve">法律、法规和磋商文件规定的其他无效情形。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成交后分包</w:t>
      </w:r>
      <w:r/>
    </w:p>
    <w:p>
      <w:pPr>
        <w:ind w:firstLine="480"/>
        <w:jc w:val="left"/>
        <w:spacing w:line="360" w:lineRule="auto"/>
        <w:rPr>
          <w:rFonts w:hint="eastAsia" w:ascii="宋体" w:hAnsi="宋体" w:eastAsia="宋体"/>
          <w:bCs/>
          <w:color w:val="auto"/>
          <w:sz w:val="24"/>
          <w:szCs w:val="24"/>
          <w:highlight w:val="none"/>
          <w:lang w:val="en-US" w:eastAsia="zh-CN"/>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联合体、成交后分包（如有）</w:t>
      </w:r>
      <w:r>
        <w:rPr>
          <w:rFonts w:hint="eastAsia" w:ascii="宋体" w:hAnsi="宋体"/>
          <w:bCs/>
          <w:color w:val="auto"/>
          <w:sz w:val="24"/>
          <w:szCs w:val="24"/>
          <w:highlight w:val="none"/>
          <w:lang w:val="en-US" w:eastAsia="zh-CN"/>
        </w:rPr>
        <w:t xml:space="preserve"> </w:t>
      </w:r>
      <w:r/>
    </w:p>
    <w:p>
      <w:pPr>
        <w:ind w:firstLine="47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hint="eastAsia" w:ascii="宋体" w:hAnsi="宋体"/>
          <w:bCs/>
          <w:color w:val="auto"/>
          <w:sz w:val="24"/>
          <w:szCs w:val="24"/>
          <w:highlight w:val="none"/>
          <w:lang w:val="zh-CN"/>
        </w:rPr>
      </w:pPr>
      <w:r/>
      <w:bookmarkStart w:id="37" w:name="OLE_LINK105"/>
      <w:r>
        <w:rPr>
          <w:rFonts w:hint="eastAsia" w:ascii="宋体" w:hAnsi="宋体"/>
          <w:bCs/>
          <w:color w:val="auto"/>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hint="eastAsia" w:ascii="宋体" w:hAnsi="宋体"/>
          <w:b/>
          <w:color w:val="auto"/>
          <w:sz w:val="24"/>
          <w:szCs w:val="24"/>
          <w:highlight w:val="none"/>
          <w:lang w:val="zh-CN"/>
        </w:rPr>
      </w:pPr>
      <w:r/>
      <w:bookmarkStart w:id="38" w:name="OLE_LINK165"/>
      <w:r>
        <w:rPr>
          <w:rFonts w:hint="eastAsia" w:ascii="宋体" w:hAnsi="宋体"/>
          <w:bCs/>
          <w:color w:val="auto"/>
          <w:sz w:val="24"/>
          <w:szCs w:val="24"/>
          <w:highlight w:val="none"/>
        </w:rPr>
        <w:t xml:space="preserve">供应商如为联合体的，</w:t>
      </w:r>
      <w:r>
        <w:rPr>
          <w:rFonts w:hint="eastAsia" w:ascii="宋体" w:hAnsi="宋体"/>
          <w:bCs/>
          <w:color w:val="auto"/>
          <w:sz w:val="24"/>
          <w:szCs w:val="24"/>
          <w:highlight w:val="none"/>
          <w:lang w:val="zh-CN"/>
        </w:rPr>
        <w:t xml:space="preserve">联合体各方应按磋商文件提供的格式签</w:t>
      </w:r>
      <w:bookmarkStart w:id="39" w:name="OLE_LINK199"/>
      <w:r>
        <w:rPr>
          <w:rFonts w:hint="eastAsia" w:ascii="宋体" w:hAnsi="宋体"/>
          <w:bCs/>
          <w:color w:val="auto"/>
          <w:sz w:val="24"/>
          <w:szCs w:val="24"/>
          <w:highlight w:val="none"/>
          <w:lang w:val="zh-CN"/>
        </w:rPr>
        <w:t xml:space="preserve">订联合体协议书</w:t>
      </w:r>
      <w:bookmarkEnd w:id="39"/>
      <w:r>
        <w:rPr>
          <w:rFonts w:hint="eastAsia" w:ascii="宋体" w:hAnsi="宋体"/>
          <w:bCs/>
          <w:color w:val="auto"/>
          <w:sz w:val="24"/>
          <w:szCs w:val="24"/>
          <w:highlight w:val="none"/>
          <w:lang w:val="zh-CN"/>
        </w:rPr>
        <w:t xml:space="preserve">，明确联合体主体单位（即牵头人）和各方的权利义务</w:t>
      </w:r>
      <w:bookmarkEnd w:id="38"/>
      <w:r/>
      <w:bookmarkStart w:id="40" w:name="OLE_LINK127"/>
      <w:r/>
      <w:bookmarkStart w:id="41" w:name="_Hlk160456332"/>
      <w:r/>
      <w:bookmarkStart w:id="42"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r>
        <w:rPr>
          <w:rFonts w:hint="eastAsia" w:ascii="宋体" w:hAnsi="宋体"/>
          <w:b/>
          <w:bCs w:val="0"/>
          <w:color w:val="auto"/>
          <w:sz w:val="24"/>
          <w:szCs w:val="24"/>
          <w:highlight w:val="none"/>
          <w:lang w:val="zh-CN"/>
        </w:rPr>
        <w:t xml:space="preserve">除联合体协议书外，响应文件其他地</w:t>
      </w:r>
      <w:r>
        <w:rPr>
          <w:rFonts w:hint="eastAsia" w:ascii="宋体" w:hAnsi="宋体"/>
          <w:b/>
          <w:color w:val="auto"/>
          <w:sz w:val="24"/>
          <w:szCs w:val="24"/>
          <w:highlight w:val="none"/>
          <w:lang w:val="zh-CN"/>
        </w:rPr>
        <w:t xml:space="preserve">方需要供应商签名或盖章的，只需主体单位进行签名或盖章。</w:t>
      </w:r>
      <w:bookmarkEnd w:id="4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以联合体形式参加报价的，</w:t>
      </w:r>
      <w:bookmarkStart w:id="43"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41"/>
      <w:r/>
      <w:bookmarkEnd w:id="43"/>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；联合体中有同类资质的供应商按照联合体分工承担相同工作的，按照资质等级较低的供应商确定资质等级；</w:t>
      </w:r>
      <w:bookmarkStart w:id="44"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42"/>
      <w:r/>
      <w:bookmarkEnd w:id="44"/>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olor w:val="auto"/>
          <w:sz w:val="24"/>
          <w:szCs w:val="24"/>
          <w:highlight w:val="none"/>
        </w:rPr>
        <w:t xml:space="preserve">，否则相关报价均将被认定为报价无效</w:t>
      </w:r>
      <w:r>
        <w:rPr>
          <w:rFonts w:ascii="宋体" w:hAnsi="宋体"/>
          <w:color w:val="auto"/>
          <w:sz w:val="24"/>
          <w:szCs w:val="24"/>
          <w:highlight w:val="none"/>
        </w:rPr>
        <w:t xml:space="preserve">。</w:t>
      </w:r>
      <w:bookmarkEnd w:id="37"/>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成交后分包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供应商根据磋商文件的规定和采购项目的实际情况，拟在成交后将成交项目的非主体、非关键性工作分包的，须在响应文件中载明分包承担主体，分包承担主体应当具备相应资质条件且不得再次分包。</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五、采购活动</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20、采购活动</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20.1 采购人按磋商文件规定的时间在“苏采云开标大厅”召开开标大会。供应商应当在报价前做好充分准备，携带 CA 数字证书准时参加。</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提交响应文件或成功解密响应文件的供应商不足3家的，不得开标。</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20.2响应文件提交截止时间后，在“苏采云开标大厅”开启响应文件，相关注意事项详见报价邀请函。</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21、磋商程序</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21.1 具体评审事务由采购人依法组建的磋商小组（即评审委员会）负责</w:t>
      </w:r>
      <w:bookmarkStart w:id="45" w:name="_Hlk160096617"/>
      <w:r>
        <w:rPr>
          <w:rFonts w:hint="eastAsia" w:ascii="宋体" w:hAnsi="宋体"/>
          <w:bCs/>
          <w:color w:val="auto"/>
          <w:sz w:val="24"/>
          <w:szCs w:val="24"/>
          <w:highlight w:val="none"/>
        </w:rPr>
        <w:t xml:space="preserve">，其成员由评审专家和采购人代表组成</w:t>
      </w:r>
      <w:bookmarkEnd w:id="45"/>
      <w:r>
        <w:rPr>
          <w:rFonts w:hint="eastAsia" w:ascii="宋体" w:hAnsi="宋体"/>
          <w:bCs/>
          <w:color w:val="auto"/>
          <w:sz w:val="24"/>
          <w:szCs w:val="24"/>
          <w:highlight w:val="none"/>
        </w:rPr>
        <w:t xml:space="preserve">。 </w:t>
      </w:r>
      <w:r/>
    </w:p>
    <w:p>
      <w:pPr>
        <w:ind w:left="1" w:firstLine="480"/>
        <w:jc w:val="left"/>
        <w:spacing w:line="360" w:lineRule="auto"/>
        <w:tabs>
          <w:tab w:val="left" w:pos="945" w:leader="none"/>
        </w:tabs>
        <w:rPr>
          <w:rFonts w:hint="eastAsia" w:ascii="宋体" w:hAnsi="宋体"/>
          <w:bCs/>
          <w:color w:val="auto"/>
          <w:sz w:val="24"/>
          <w:szCs w:val="24"/>
          <w:highlight w:val="none"/>
        </w:rPr>
      </w:pPr>
      <w:r/>
      <w:bookmarkStart w:id="46" w:name="OLE_LINK98"/>
      <w:r>
        <w:rPr>
          <w:rFonts w:hint="eastAsia" w:ascii="宋体" w:hAnsi="宋体"/>
          <w:bCs/>
          <w:color w:val="auto"/>
          <w:sz w:val="24"/>
          <w:szCs w:val="24"/>
          <w:highlight w:val="none"/>
        </w:rPr>
        <w:t xml:space="preserve">21.2</w:t>
      </w:r>
      <w:bookmarkEnd w:id="46"/>
      <w:r>
        <w:rPr>
          <w:rFonts w:hint="eastAsia" w:ascii="宋体" w:hAnsi="宋体"/>
          <w:bCs/>
          <w:color w:val="auto"/>
          <w:sz w:val="24"/>
          <w:szCs w:val="24"/>
          <w:highlight w:val="none"/>
        </w:rPr>
        <w:t xml:space="preserve"> </w:t>
      </w:r>
      <w:bookmarkStart w:id="47" w:name="OLE_LINK99"/>
      <w:r>
        <w:rPr>
          <w:rFonts w:hint="eastAsia" w:ascii="宋体" w:hAnsi="宋体"/>
          <w:bCs/>
          <w:color w:val="auto"/>
          <w:sz w:val="24"/>
          <w:szCs w:val="24"/>
          <w:highlight w:val="none"/>
        </w:rPr>
        <w:t xml:space="preserve">磋商小组</w:t>
      </w:r>
      <w:bookmarkEnd w:id="47"/>
      <w:r>
        <w:rPr>
          <w:rFonts w:hint="eastAsia" w:ascii="宋体" w:hAnsi="宋体"/>
          <w:bCs/>
          <w:color w:val="auto"/>
          <w:sz w:val="24"/>
          <w:szCs w:val="24"/>
          <w:highlight w:val="none"/>
        </w:rPr>
        <w:t xml:space="preserve">按照磋商文件的要求对供应商进行资格性及符合性审查。未通过资格性或符合性审查</w:t>
      </w:r>
      <w:r>
        <w:rPr>
          <w:rFonts w:hint="eastAsia" w:ascii="宋体" w:hAnsi="宋体" w:cs="宋体"/>
          <w:color w:val="auto"/>
          <w:sz w:val="24"/>
          <w:szCs w:val="24"/>
          <w:highlight w:val="none"/>
        </w:rPr>
        <w:t xml:space="preserve">的，其报价无效。</w:t>
      </w:r>
      <w:r/>
    </w:p>
    <w:p>
      <w:pPr>
        <w:ind w:firstLine="480"/>
        <w:jc w:val="left"/>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21.2.1 </w:t>
      </w:r>
      <w:bookmarkStart w:id="48" w:name="_Hlk160107381"/>
      <w:r>
        <w:rPr>
          <w:rFonts w:hint="eastAsia" w:ascii="宋体" w:hAnsi="宋体"/>
          <w:bCs/>
          <w:color w:val="auto"/>
          <w:sz w:val="24"/>
          <w:szCs w:val="24"/>
          <w:highlight w:val="none"/>
        </w:rPr>
        <w:t xml:space="preserve">资格性审查是指磋商小组</w:t>
      </w:r>
      <w:r>
        <w:rPr>
          <w:rFonts w:hint="eastAsia" w:ascii="宋体" w:hAnsi="宋体" w:cs="宋体"/>
          <w:color w:val="auto"/>
          <w:sz w:val="24"/>
          <w:szCs w:val="24"/>
          <w:highlight w:val="none"/>
        </w:rPr>
        <w:t xml:space="preserve">按照本须知</w:t>
      </w:r>
      <w:bookmarkStart w:id="49" w:name="_Hlk160109446"/>
      <w:r>
        <w:rPr>
          <w:rFonts w:hint="eastAsia" w:ascii="宋体" w:hAnsi="宋体" w:cs="宋体"/>
          <w:color w:val="auto"/>
          <w:sz w:val="24"/>
          <w:szCs w:val="24"/>
          <w:highlight w:val="none"/>
        </w:rPr>
        <w:t xml:space="preserve">“9、响应文件的组成”中“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”的要求对供应商</w:t>
      </w:r>
      <w:bookmarkEnd w:id="49"/>
      <w:r/>
      <w:bookmarkStart w:id="50" w:name="_Hlk160109488"/>
      <w:r>
        <w:rPr>
          <w:rFonts w:hint="eastAsia" w:ascii="宋体" w:hAnsi="宋体" w:cs="宋体"/>
          <w:color w:val="auto"/>
          <w:sz w:val="24"/>
          <w:szCs w:val="24"/>
          <w:highlight w:val="none"/>
        </w:rPr>
        <w:t xml:space="preserve">响应文件中资格证明材料进行审查</w:t>
      </w:r>
      <w:bookmarkEnd w:id="48"/>
      <w:r/>
      <w:bookmarkEnd w:id="50"/>
      <w:r>
        <w:rPr>
          <w:rFonts w:hint="eastAsia" w:ascii="宋体" w:hAnsi="宋体" w:cs="宋体"/>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① 查询时间：磋商小组将在资审环节查询供应商的信用记录，供应商存在不良信用记录的，资格性审查不通过，其报价将被认定为报价无效。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报价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③ 查询及记录方式：评审当日，磋商小组在以上网站查询并打印查询结果、签字、存档备查。供应商不良信用记录以磋商小组在评审现场实时查询结果为准，评审结束后，不因供应商不良信用记录改变而改变信用查询结果；供应商自行提供的与网站信息不一致的其他证明材料不作为资格审查依据；若在以上两个网站查询不到供应商企业信息的，以供应商提供的资格声明函中作出的无不良信用记录承诺为准。</w:t>
      </w:r>
      <w:r/>
    </w:p>
    <w:p>
      <w:pPr>
        <w:ind w:firstLine="480"/>
        <w:jc w:val="left"/>
        <w:spacing w:line="360" w:lineRule="auto"/>
        <w:rPr>
          <w:rFonts w:hint="eastAsia" w:ascii="宋体" w:hAnsi="宋体"/>
          <w:bCs/>
          <w:color w:val="auto"/>
          <w:sz w:val="24"/>
          <w:szCs w:val="24"/>
          <w:highlight w:val="none"/>
        </w:rPr>
      </w:pPr>
      <w:r/>
      <w:bookmarkStart w:id="51" w:name="OLE_LINK37"/>
      <w:r>
        <w:rPr>
          <w:rFonts w:hint="eastAsia" w:ascii="宋体" w:hAnsi="宋体"/>
          <w:bCs/>
          <w:color w:val="auto"/>
          <w:sz w:val="24"/>
          <w:szCs w:val="24"/>
          <w:highlight w:val="none"/>
        </w:rPr>
        <w:t xml:space="preserve">21.2.3</w:t>
      </w:r>
      <w:bookmarkStart w:id="52" w:name="_Hlk159920454"/>
      <w:r>
        <w:rPr>
          <w:rFonts w:hint="eastAsia" w:ascii="宋体" w:hAnsi="宋体"/>
          <w:bCs/>
          <w:color w:val="auto"/>
          <w:sz w:val="24"/>
          <w:szCs w:val="24"/>
          <w:highlight w:val="none"/>
        </w:rPr>
        <w:t xml:space="preserve"> 符合性审查是指磋商小组对通过资格性审查的供应商的响应文件进行</w:t>
      </w:r>
      <w:bookmarkStart w:id="53" w:name="_Hlk159919996"/>
      <w:r>
        <w:rPr>
          <w:rFonts w:hint="eastAsia" w:ascii="宋体" w:hAnsi="宋体"/>
          <w:bCs/>
          <w:color w:val="auto"/>
          <w:sz w:val="24"/>
          <w:szCs w:val="24"/>
          <w:highlight w:val="none"/>
        </w:rPr>
        <w:t xml:space="preserve">审查，以确定其是否满足磋商文件的实质性要求。</w:t>
      </w:r>
      <w:bookmarkEnd w:id="52"/>
      <w:r/>
      <w:bookmarkEnd w:id="53"/>
      <w:r/>
      <w:bookmarkStart w:id="54"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响应文件</w:t>
      </w:r>
      <w:r>
        <w:rPr>
          <w:rFonts w:hint="eastAsia" w:ascii="宋体" w:hAnsi="宋体" w:cs="宋体"/>
          <w:bCs/>
          <w:color w:val="auto"/>
          <w:sz w:val="24"/>
          <w:szCs w:val="24"/>
          <w:highlight w:val="none"/>
        </w:rPr>
        <w:t xml:space="preserve">的组成”</w:t>
      </w:r>
      <w:bookmarkEnd w:id="54"/>
      <w:r>
        <w:rPr>
          <w:rFonts w:hint="eastAsia" w:ascii="宋体" w:hAnsi="宋体" w:cs="宋体"/>
          <w:bCs/>
          <w:color w:val="auto"/>
          <w:sz w:val="24"/>
          <w:szCs w:val="24"/>
          <w:highlight w:val="none"/>
        </w:rPr>
        <w:t xml:space="preserve"> 中“符合条件”和磋商文件</w:t>
      </w:r>
      <w:r>
        <w:rPr>
          <w:rFonts w:hint="eastAsia" w:ascii="宋体" w:hAnsi="宋体"/>
          <w:bCs/>
          <w:color w:val="auto"/>
          <w:sz w:val="24"/>
          <w:szCs w:val="24"/>
          <w:highlight w:val="none"/>
        </w:rPr>
        <w:t xml:space="preserve">中其他实质性要求，未通过符合性审查的，其报价无效。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21.3 </w:t>
      </w:r>
      <w:r>
        <w:rPr>
          <w:rFonts w:hint="eastAsia" w:ascii="宋体"/>
          <w:color w:val="auto"/>
          <w:sz w:val="24"/>
          <w:highlight w:val="none"/>
          <w:lang w:val="zh-CN"/>
        </w:rPr>
        <w:t xml:space="preserve">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w:t>
      </w:r>
      <w:bookmarkStart w:id="55" w:name="OLE_LINK129"/>
      <w:r>
        <w:rPr>
          <w:rFonts w:hint="eastAsia" w:ascii="宋体" w:hAnsi="宋体" w:cs="宋体"/>
          <w:color w:val="auto"/>
          <w:sz w:val="24"/>
          <w:szCs w:val="24"/>
          <w:highlight w:val="none"/>
        </w:rPr>
        <w:t xml:space="preserve">若</w:t>
      </w:r>
      <w:r>
        <w:rPr>
          <w:rFonts w:hint="eastAsia" w:ascii="宋体" w:hAnsi="宋体"/>
          <w:bCs/>
          <w:color w:val="auto"/>
          <w:sz w:val="24"/>
          <w:szCs w:val="24"/>
          <w:highlight w:val="none"/>
        </w:rPr>
        <w:t xml:space="preserve">对不同文字文本响应文件的解释发生异议的，以中文文本为准。</w:t>
      </w:r>
      <w:bookmarkEnd w:id="55"/>
      <w:r/>
      <w:bookmarkStart w:id="56" w:name="_Hlk164086081"/>
      <w:r/>
      <w:bookmarkStart w:id="57" w:name="_Hlk159572925"/>
      <w:r>
        <w:rPr>
          <w:rFonts w:hint="eastAsia" w:ascii="宋体" w:hAnsi="宋体"/>
          <w:bCs/>
          <w:color w:val="auto"/>
          <w:sz w:val="24"/>
          <w:szCs w:val="24"/>
          <w:highlight w:val="none"/>
        </w:rPr>
        <w:t xml:space="preserve">供应商获得证书的时间是指发文时间或证书落款时间，若供应商同时提供了发文和证书，以发文时间为准。</w:t>
      </w:r>
      <w:bookmarkEnd w:id="56"/>
      <w:r>
        <w:rPr>
          <w:rFonts w:hint="eastAsia" w:ascii="宋体" w:hAnsi="宋体"/>
          <w:bCs/>
          <w:color w:val="auto"/>
          <w:sz w:val="24"/>
          <w:szCs w:val="24"/>
          <w:highlight w:val="none"/>
        </w:rPr>
        <w:t xml:space="preserve">同一合同项下的续签合同、补充合同不单独作为有效证明材料。除以上磋商小组</w:t>
      </w:r>
      <w:r>
        <w:rPr>
          <w:rFonts w:hint="eastAsia" w:ascii="宋体" w:hAnsi="宋体"/>
          <w:bCs/>
          <w:color w:val="auto"/>
          <w:sz w:val="24"/>
          <w:highlight w:val="none"/>
        </w:rPr>
        <w:t xml:space="preserve">要求供应商作出必要的澄清、说明或者纠正时，需要供应商提供相关证明材料外，供应商</w:t>
      </w:r>
      <w:r>
        <w:rPr>
          <w:rFonts w:hint="eastAsia" w:ascii="宋体" w:hAnsi="宋体"/>
          <w:bCs/>
          <w:color w:val="auto"/>
          <w:sz w:val="24"/>
          <w:szCs w:val="24"/>
          <w:highlight w:val="none"/>
        </w:rPr>
        <w:t xml:space="preserve">提供的</w:t>
      </w:r>
      <w:r>
        <w:rPr>
          <w:rFonts w:hint="eastAsia" w:ascii="宋体" w:hAnsi="宋体"/>
          <w:bCs/>
          <w:color w:val="auto"/>
          <w:sz w:val="24"/>
          <w:highlight w:val="none"/>
        </w:rPr>
        <w:t xml:space="preserve">响应文件以外的证明材料一概不作为评审依据。</w:t>
      </w:r>
      <w:bookmarkEnd w:id="57"/>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磋商小组要求供应商澄清、说明或者更正响应文件应当以书面形式作出</w:t>
      </w:r>
      <w:bookmarkStart w:id="58" w:name="_Hlk160096255"/>
      <w:r>
        <w:rPr>
          <w:rFonts w:hint="eastAsia" w:ascii="宋体" w:hAnsi="宋体"/>
          <w:bCs/>
          <w:color w:val="auto"/>
          <w:sz w:val="24"/>
          <w:szCs w:val="24"/>
          <w:highlight w:val="none"/>
        </w:rPr>
        <w:t xml:space="preserve">，采用不见面交易模式的，可以采用数据电文形式进行，并做好记录。</w:t>
      </w:r>
      <w:bookmarkEnd w:id="58"/>
      <w:r>
        <w:rPr>
          <w:rFonts w:hint="eastAsia" w:ascii="宋体" w:hAnsi="宋体"/>
          <w:bCs/>
          <w:color w:val="auto"/>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21.5 </w:t>
      </w:r>
      <w:bookmarkStart w:id="59" w:name="_Hlk160108948"/>
      <w:r>
        <w:rPr>
          <w:rFonts w:hint="eastAsia" w:ascii="宋体" w:hAnsi="宋体"/>
          <w:bCs/>
          <w:color w:val="auto"/>
          <w:sz w:val="24"/>
          <w:szCs w:val="24"/>
          <w:highlight w:val="none"/>
          <w:lang w:val="zh-CN"/>
        </w:rPr>
        <w:t xml:space="preserve">磋商小组确定磋商程序和磋商内</w:t>
      </w:r>
      <w:r>
        <w:rPr>
          <w:rFonts w:hint="eastAsia" w:ascii="宋体" w:hAnsi="宋体"/>
          <w:bCs/>
          <w:color w:val="auto"/>
          <w:sz w:val="24"/>
          <w:szCs w:val="24"/>
          <w:highlight w:val="none"/>
        </w:rPr>
        <w:t xml:space="preserve">容后，</w:t>
      </w:r>
      <w:bookmarkEnd w:id="59"/>
      <w:r>
        <w:rPr>
          <w:rFonts w:hint="eastAsia" w:ascii="宋体" w:hAnsi="宋体"/>
          <w:bCs/>
          <w:color w:val="auto"/>
          <w:sz w:val="24"/>
          <w:szCs w:val="24"/>
          <w:highlight w:val="none"/>
          <w:lang w:val="zh-CN"/>
        </w:rPr>
        <w:t xml:space="preserve">磋商小组所有成员集中与单一供应商分别进行磋商，并给予所有参加磋商的供应商平等的磋商机会。</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21.7 </w:t>
      </w:r>
      <w:r>
        <w:rPr>
          <w:rFonts w:hint="eastAsia" w:ascii="宋体" w:hAnsi="宋体"/>
          <w:bCs/>
          <w:color w:val="auto"/>
          <w:sz w:val="24"/>
          <w:szCs w:val="24"/>
          <w:highlight w:val="none"/>
          <w:lang w:val="zh-CN"/>
        </w:rPr>
        <w:t xml:space="preserve">磋商结束后，磋商小组将要求所有继续参加磋商的供应商在规定时间内</w:t>
      </w:r>
      <w:bookmarkStart w:id="60" w:name="_Hlk153891412"/>
      <w:r>
        <w:rPr>
          <w:rFonts w:hint="eastAsia" w:ascii="宋体" w:hAnsi="宋体"/>
          <w:bCs/>
          <w:color w:val="auto"/>
          <w:sz w:val="24"/>
          <w:szCs w:val="24"/>
          <w:highlight w:val="none"/>
          <w:lang w:val="zh-CN"/>
        </w:rPr>
        <w:t xml:space="preserve">通过</w:t>
      </w:r>
      <w:r>
        <w:rPr>
          <w:rFonts w:ascii="宋体" w:hAnsi="宋体"/>
          <w:bCs/>
          <w:color w:val="auto"/>
          <w:sz w:val="24"/>
          <w:szCs w:val="24"/>
          <w:highlight w:val="none"/>
        </w:rPr>
        <w:t xml:space="preserve">电子交易平台</w:t>
      </w:r>
      <w:bookmarkEnd w:id="60"/>
      <w:r>
        <w:rPr>
          <w:rFonts w:hint="eastAsia" w:ascii="宋体" w:hAnsi="宋体"/>
          <w:bCs/>
          <w:color w:val="auto"/>
          <w:sz w:val="24"/>
          <w:szCs w:val="24"/>
          <w:highlight w:val="none"/>
          <w:lang w:val="zh-CN"/>
        </w:rPr>
        <w:t xml:space="preserve">提交第2次磋商报价（即最后报价），提交最后报价的供应商不得少于3家（市场竞争不充分的科研项目以及需要扶持的科技成果转化项目，提交最后报价的供应商可以为2家）。</w:t>
      </w:r>
      <w:bookmarkStart w:id="61" w:name="_Hlk135750542"/>
      <w:r>
        <w:rPr>
          <w:rFonts w:hint="eastAsia" w:ascii="宋体" w:hAnsi="宋体"/>
          <w:b/>
          <w:color w:val="auto"/>
          <w:sz w:val="24"/>
          <w:szCs w:val="24"/>
          <w:highlight w:val="none"/>
          <w:u w:val="single"/>
          <w:lang w:val="zh-CN"/>
        </w:rPr>
        <w:t xml:space="preserve">最后报价是供应商响应文件的有效组成部分，若供应商未及时在系统中填报并确认最后报价，视为放弃磋商资格、退出磋商，其报价无效。</w:t>
      </w:r>
      <w:bookmarkEnd w:id="61"/>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21.8 </w:t>
      </w:r>
      <w:r>
        <w:rPr>
          <w:rFonts w:hint="eastAsia" w:ascii="宋体" w:hAnsi="宋体"/>
          <w:bCs/>
          <w:color w:val="auto"/>
          <w:sz w:val="24"/>
          <w:szCs w:val="24"/>
          <w:highlight w:val="none"/>
          <w:lang w:val="zh-CN"/>
        </w:rPr>
        <w:t xml:space="preserve">已提交响应文件的供应商，在提交最后报价之前，可以根据磋商情况退出磋商。退出磋商的供应商，其报价无效。</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21.9 </w:t>
      </w:r>
      <w:r>
        <w:rPr>
          <w:rFonts w:hint="eastAsia" w:ascii="宋体" w:hAnsi="宋体"/>
          <w:b/>
          <w:color w:val="auto"/>
          <w:sz w:val="24"/>
          <w:highlight w:val="none"/>
        </w:rPr>
        <w:t xml:space="preserve">评审方法和标准</w:t>
      </w:r>
      <w:r>
        <w:rPr>
          <w:rFonts w:hint="eastAsia" w:ascii="宋体" w:hAnsi="宋体"/>
          <w:bCs/>
          <w:color w:val="auto"/>
          <w:sz w:val="24"/>
          <w:highlight w:val="none"/>
        </w:rPr>
        <w:t xml:space="preserve">。</w:t>
      </w:r>
      <w:bookmarkEnd w:id="51"/>
      <w:r/>
      <w:r/>
    </w:p>
    <w:p>
      <w:pPr>
        <w:ind w:left="1" w:firstLine="480"/>
        <w:jc w:val="left"/>
        <w:spacing w:line="360" w:lineRule="auto"/>
        <w:tabs>
          <w:tab w:val="left" w:pos="945" w:leader="none"/>
        </w:tabs>
        <w:rPr>
          <w:rFonts w:hint="eastAsia" w:ascii="宋体" w:hAnsi="宋体"/>
          <w:bCs/>
          <w:color w:val="auto"/>
          <w:sz w:val="24"/>
          <w:highlight w:val="none"/>
        </w:rPr>
      </w:pPr>
      <w:r/>
      <w:bookmarkStart w:id="62" w:name="OLE_LINK90"/>
      <w:r>
        <w:rPr>
          <w:rFonts w:hint="eastAsia" w:ascii="宋体" w:hAnsi="宋体"/>
          <w:bCs/>
          <w:color w:val="auto"/>
          <w:sz w:val="24"/>
          <w:highlight w:val="none"/>
        </w:rPr>
        <w:t xml:space="preserve">21.9.1 </w:t>
      </w:r>
      <w:bookmarkStart w:id="63" w:name="OLE_LINK108"/>
      <w:r>
        <w:rPr>
          <w:rFonts w:ascii="宋体" w:hAnsi="宋体"/>
          <w:bCs/>
          <w:color w:val="auto"/>
          <w:sz w:val="24"/>
          <w:szCs w:val="24"/>
          <w:highlight w:val="none"/>
          <w:lang w:val="zh-CN"/>
        </w:rPr>
        <w:t xml:space="preserve">经磋商确定最终采购需求和提交最后报价的供应商后，由磋商小组采用综合评分法对提交最后报价的</w:t>
      </w:r>
      <w:bookmarkStart w:id="64" w:name="_Hlk139982628"/>
      <w:r>
        <w:rPr>
          <w:rFonts w:ascii="宋体" w:hAnsi="宋体"/>
          <w:bCs/>
          <w:color w:val="auto"/>
          <w:sz w:val="24"/>
          <w:szCs w:val="24"/>
          <w:highlight w:val="none"/>
          <w:lang w:val="zh-CN"/>
        </w:rPr>
        <w:t xml:space="preserve">供应商</w:t>
      </w:r>
      <w:bookmarkEnd w:id="64"/>
      <w:r>
        <w:rPr>
          <w:rFonts w:ascii="宋体" w:hAnsi="宋体"/>
          <w:bCs/>
          <w:color w:val="auto"/>
          <w:sz w:val="24"/>
          <w:szCs w:val="24"/>
          <w:highlight w:val="none"/>
          <w:lang w:val="zh-CN"/>
        </w:rPr>
        <w:t xml:space="preserve">的响应文件和最后报价进行综合评分</w:t>
      </w:r>
      <w:r>
        <w:rPr>
          <w:rFonts w:hint="eastAsia" w:ascii="宋体" w:hAnsi="宋体"/>
          <w:bCs/>
          <w:color w:val="auto"/>
          <w:sz w:val="24"/>
          <w:szCs w:val="24"/>
          <w:highlight w:val="none"/>
          <w:lang w:val="zh-CN"/>
        </w:rPr>
        <w:t xml:space="preserve">，</w:t>
      </w:r>
      <w:r>
        <w:rPr>
          <w:rFonts w:hint="eastAsia" w:ascii="宋体" w:hAnsi="宋体"/>
          <w:bCs/>
          <w:color w:val="auto"/>
          <w:sz w:val="24"/>
          <w:highlight w:val="none"/>
        </w:rPr>
        <w:t xml:space="preserve">各</w:t>
      </w:r>
      <w:r>
        <w:rPr>
          <w:rFonts w:ascii="宋体" w:hAnsi="宋体"/>
          <w:bCs/>
          <w:color w:val="auto"/>
          <w:sz w:val="24"/>
          <w:szCs w:val="24"/>
          <w:highlight w:val="none"/>
          <w:lang w:val="zh-CN"/>
        </w:rPr>
        <w:t xml:space="preserve">供应商</w:t>
      </w:r>
      <w:r>
        <w:rPr>
          <w:rFonts w:hint="eastAsia" w:ascii="宋体" w:hAnsi="宋体"/>
          <w:bCs/>
          <w:color w:val="auto"/>
          <w:sz w:val="24"/>
          <w:szCs w:val="24"/>
          <w:highlight w:val="none"/>
          <w:lang w:val="zh-CN"/>
        </w:rPr>
        <w:t xml:space="preserve">的最终得分为</w:t>
      </w:r>
      <w:r>
        <w:rPr>
          <w:rFonts w:ascii="宋体" w:hAnsi="宋体"/>
          <w:bCs/>
          <w:color w:val="auto"/>
          <w:sz w:val="24"/>
          <w:szCs w:val="24"/>
          <w:highlight w:val="none"/>
          <w:lang w:val="zh-CN"/>
        </w:rPr>
        <w:t xml:space="preserve">磋商小组</w:t>
      </w:r>
      <w:bookmarkStart w:id="65" w:name="_Hlk160721631"/>
      <w:r>
        <w:rPr>
          <w:rFonts w:hint="eastAsia" w:ascii="宋体" w:hAnsi="宋体"/>
          <w:bCs/>
          <w:color w:val="auto"/>
          <w:sz w:val="24"/>
          <w:szCs w:val="24"/>
          <w:highlight w:val="none"/>
          <w:lang w:val="zh-CN"/>
        </w:rPr>
        <w:t xml:space="preserve">所有成员</w:t>
      </w:r>
      <w:r>
        <w:rPr>
          <w:rFonts w:ascii="宋体" w:hAnsi="宋体"/>
          <w:bCs/>
          <w:color w:val="auto"/>
          <w:sz w:val="24"/>
          <w:szCs w:val="24"/>
          <w:highlight w:val="none"/>
          <w:lang w:val="zh-CN"/>
        </w:rPr>
        <w:t xml:space="preserve">综合评分</w:t>
      </w:r>
      <w:r>
        <w:rPr>
          <w:rFonts w:hint="eastAsia" w:ascii="宋体" w:hAnsi="宋体"/>
          <w:bCs/>
          <w:color w:val="auto"/>
          <w:sz w:val="24"/>
          <w:highlight w:val="none"/>
        </w:rPr>
        <w:t xml:space="preserve">后得分的算术平均值</w:t>
      </w:r>
      <w:bookmarkEnd w:id="65"/>
      <w:r>
        <w:rPr>
          <w:rFonts w:hint="eastAsia" w:ascii="宋体" w:hAnsi="宋体"/>
          <w:bCs/>
          <w:color w:val="auto"/>
          <w:sz w:val="24"/>
          <w:highlight w:val="none"/>
        </w:rPr>
        <w:t xml:space="preserve">（四舍五入保留两位小数）</w:t>
      </w:r>
      <w:r>
        <w:rPr>
          <w:rFonts w:ascii="宋体" w:hAnsi="宋体"/>
          <w:bCs/>
          <w:color w:val="auto"/>
          <w:sz w:val="24"/>
          <w:szCs w:val="24"/>
          <w:highlight w:val="none"/>
          <w:lang w:val="zh-CN"/>
        </w:rPr>
        <w:t xml:space="preserve">。</w:t>
      </w:r>
      <w:bookmarkStart w:id="66" w:name="_Hlk139982745"/>
      <w:r>
        <w:rPr>
          <w:rFonts w:ascii="宋体" w:hAnsi="宋体"/>
          <w:bCs/>
          <w:color w:val="auto"/>
          <w:sz w:val="24"/>
          <w:szCs w:val="24"/>
          <w:highlight w:val="none"/>
          <w:lang w:val="zh-CN"/>
        </w:rPr>
        <w:t xml:space="preserve">磋商小组应当根据综合评分情况按照</w:t>
      </w:r>
      <w:r>
        <w:rPr>
          <w:rFonts w:hint="eastAsia" w:ascii="宋体" w:hAnsi="宋体"/>
          <w:bCs/>
          <w:color w:val="auto"/>
          <w:sz w:val="24"/>
          <w:szCs w:val="24"/>
          <w:highlight w:val="none"/>
          <w:lang w:val="zh-CN"/>
        </w:rPr>
        <w:t xml:space="preserve">最终得分</w:t>
      </w:r>
      <w:r>
        <w:rPr>
          <w:rFonts w:ascii="宋体" w:hAnsi="宋体"/>
          <w:bCs/>
          <w:color w:val="auto"/>
          <w:sz w:val="24"/>
          <w:szCs w:val="24"/>
          <w:highlight w:val="none"/>
          <w:lang w:val="zh-CN"/>
        </w:rPr>
        <w:t xml:space="preserve">由</w:t>
      </w:r>
      <w:r>
        <w:rPr>
          <w:rFonts w:hint="eastAsia" w:ascii="宋体" w:hAnsi="宋体"/>
          <w:bCs/>
          <w:color w:val="auto"/>
          <w:sz w:val="24"/>
          <w:szCs w:val="24"/>
          <w:highlight w:val="none"/>
          <w:lang w:val="zh-CN"/>
        </w:rPr>
        <w:t xml:space="preserve">高到低顺序排列</w:t>
      </w:r>
      <w:r>
        <w:rPr>
          <w:rFonts w:ascii="宋体" w:hAnsi="宋体"/>
          <w:bCs/>
          <w:color w:val="auto"/>
          <w:sz w:val="24"/>
          <w:szCs w:val="24"/>
          <w:highlight w:val="none"/>
          <w:lang w:val="zh-CN"/>
        </w:rPr>
        <w:t xml:space="preserve">，并</w:t>
      </w:r>
      <w:r>
        <w:rPr>
          <w:rFonts w:hint="eastAsia" w:ascii="宋体" w:hAnsi="宋体"/>
          <w:bCs/>
          <w:color w:val="auto"/>
          <w:sz w:val="24"/>
          <w:szCs w:val="24"/>
          <w:highlight w:val="none"/>
          <w:lang w:val="zh-CN"/>
        </w:rPr>
        <w:t xml:space="preserve">作为成交候选人排序，</w:t>
      </w:r>
      <w:r>
        <w:rPr>
          <w:rFonts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66"/>
      <w:r>
        <w:rPr>
          <w:rFonts w:hint="eastAsia" w:ascii="宋体" w:hAnsi="宋体"/>
          <w:bCs/>
          <w:color w:val="auto"/>
          <w:sz w:val="24"/>
          <w:highlight w:val="none"/>
        </w:rPr>
        <w:t xml:space="preserve"> </w:t>
      </w:r>
      <w:r/>
    </w:p>
    <w:p>
      <w:pPr>
        <w:ind w:left="1" w:firstLine="480"/>
        <w:jc w:val="left"/>
        <w:spacing w:line="360" w:lineRule="auto"/>
        <w:tabs>
          <w:tab w:val="left" w:pos="945" w:leader="none"/>
        </w:tabs>
        <w:rPr>
          <w:rFonts w:hint="eastAsia" w:ascii="宋体" w:hAnsi="宋体" w:cs="宋体"/>
          <w:color w:val="auto"/>
          <w:sz w:val="24"/>
          <w:szCs w:val="24"/>
          <w:highlight w:val="none"/>
        </w:rPr>
      </w:pPr>
      <w:r>
        <w:rPr>
          <w:rFonts w:hint="eastAsia" w:ascii="宋体" w:hAnsi="宋体"/>
          <w:bCs/>
          <w:color w:val="auto"/>
          <w:sz w:val="24"/>
          <w:szCs w:val="24"/>
          <w:highlight w:val="none"/>
          <w:lang w:val="zh-CN"/>
        </w:rPr>
        <w:t xml:space="preserve">若最终得分相同，按最后原始报价由低到高顺序排列；若最终得分且最后原始报价均相同的，</w:t>
      </w:r>
      <w:bookmarkStart w:id="67" w:name="_Hlk135898070"/>
      <w:r>
        <w:rPr>
          <w:rFonts w:hint="eastAsia" w:ascii="宋体" w:hAnsi="宋体"/>
          <w:bCs/>
          <w:color w:val="auto"/>
          <w:sz w:val="24"/>
          <w:szCs w:val="24"/>
          <w:highlight w:val="none"/>
          <w:lang w:val="zh-CN"/>
        </w:rPr>
        <w:t xml:space="preserve">按照技术指标优劣</w:t>
      </w:r>
      <w:r>
        <w:rPr>
          <w:rFonts w:hint="eastAsia" w:ascii="宋体" w:hAnsi="宋体"/>
          <w:bCs/>
          <w:color w:val="auto"/>
          <w:sz w:val="24"/>
          <w:highlight w:val="none"/>
        </w:rPr>
        <w:t xml:space="preserve">确定排序。</w:t>
      </w:r>
      <w:bookmarkEnd w:id="67"/>
      <w:r>
        <w:rPr>
          <w:rFonts w:hint="eastAsia" w:ascii="宋体" w:hAnsi="宋体"/>
          <w:bCs/>
          <w:color w:val="auto"/>
          <w:sz w:val="24"/>
          <w:szCs w:val="24"/>
          <w:highlight w:val="none"/>
        </w:rPr>
        <w:t xml:space="preserve">评分标准详见“第四章 评审方法和标准”。</w:t>
      </w:r>
      <w:r/>
    </w:p>
    <w:p>
      <w:pPr>
        <w:ind w:left="1" w:firstLine="480"/>
        <w:jc w:val="left"/>
        <w:spacing w:line="360" w:lineRule="auto"/>
        <w:tabs>
          <w:tab w:val="left" w:pos="945" w:leader="none"/>
        </w:tabs>
        <w:rPr>
          <w:rFonts w:hint="eastAsia" w:ascii="宋体" w:hAnsi="宋体"/>
          <w:bCs/>
          <w:color w:val="auto"/>
          <w:sz w:val="24"/>
          <w:szCs w:val="24"/>
          <w:highlight w:val="none"/>
        </w:rPr>
      </w:pPr>
      <w:r>
        <w:rPr>
          <w:rFonts w:hint="eastAsia" w:ascii="宋体" w:hAnsi="宋体" w:cs="宋体"/>
          <w:color w:val="auto"/>
          <w:sz w:val="24"/>
          <w:szCs w:val="24"/>
          <w:highlight w:val="none"/>
        </w:rPr>
        <w:t xml:space="preserve">除了算术修正</w:t>
      </w:r>
      <w:bookmarkStart w:id="68" w:name="OLE_LINK201"/>
      <w:r>
        <w:rPr>
          <w:rFonts w:hint="eastAsia" w:ascii="宋体" w:hAnsi="宋体" w:cs="宋体"/>
          <w:color w:val="auto"/>
          <w:sz w:val="24"/>
          <w:szCs w:val="24"/>
          <w:highlight w:val="none"/>
        </w:rPr>
        <w:t xml:space="preserve">（</w:t>
      </w:r>
      <w:bookmarkStart w:id="69" w:name="OLE_LINK202"/>
      <w:r>
        <w:rPr>
          <w:rFonts w:hint="eastAsia" w:ascii="宋体" w:hAnsi="宋体" w:cs="宋体"/>
          <w:color w:val="auto"/>
          <w:sz w:val="24"/>
          <w:szCs w:val="24"/>
          <w:highlight w:val="none"/>
        </w:rPr>
        <w:t xml:space="preserve">21.9.2</w:t>
      </w:r>
      <w:bookmarkEnd w:id="69"/>
      <w:r>
        <w:rPr>
          <w:rFonts w:hint="eastAsia" w:ascii="宋体" w:hAnsi="宋体" w:cs="宋体"/>
          <w:color w:val="auto"/>
          <w:sz w:val="24"/>
          <w:szCs w:val="24"/>
          <w:highlight w:val="none"/>
        </w:rPr>
        <w:t xml:space="preserve">）</w:t>
      </w:r>
      <w:bookmarkEnd w:id="68"/>
      <w:r>
        <w:rPr>
          <w:rFonts w:hint="eastAsia" w:ascii="宋体" w:hAnsi="宋体" w:cs="宋体"/>
          <w:color w:val="auto"/>
          <w:sz w:val="24"/>
          <w:szCs w:val="24"/>
          <w:highlight w:val="none"/>
        </w:rPr>
        <w:t xml:space="preserve">和落实政府采购政策需进行的价格扣除外，不对供应商的价格进行任何调整</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如有调整，根据调整后的报价参与评审。</w:t>
      </w:r>
      <w:r/>
    </w:p>
    <w:p>
      <w:pPr>
        <w:ind w:left="420"/>
        <w:jc w:val="left"/>
        <w:spacing w:line="360" w:lineRule="auto"/>
        <w:tabs>
          <w:tab w:val="left" w:pos="945" w:leader="none"/>
        </w:tabs>
        <w:rPr>
          <w:rFonts w:hint="eastAsia" w:ascii="宋体" w:hAnsi="宋体"/>
          <w:bCs/>
          <w:color w:val="auto"/>
          <w:sz w:val="24"/>
          <w:highlight w:val="none"/>
        </w:rPr>
      </w:pPr>
      <w:r/>
      <w:bookmarkStart w:id="70" w:name="OLE_LINK38"/>
      <w:r>
        <w:rPr>
          <w:rFonts w:hint="eastAsia" w:ascii="宋体" w:hAnsi="宋体" w:cs="宋体"/>
          <w:color w:val="auto"/>
          <w:sz w:val="24"/>
          <w:szCs w:val="24"/>
          <w:highlight w:val="none"/>
        </w:rPr>
        <w:t xml:space="preserve">21.9.2 </w:t>
      </w:r>
      <w:r>
        <w:rPr>
          <w:rFonts w:hint="eastAsia" w:ascii="宋体" w:hAnsi="宋体"/>
          <w:bCs/>
          <w:color w:val="auto"/>
          <w:sz w:val="24"/>
          <w:highlight w:val="none"/>
        </w:rPr>
        <w:t xml:space="preserve">响应文件报价出现前后不一致的，除磋商文件另有规定外，按照下列规定修正：</w:t>
      </w:r>
      <w:r/>
    </w:p>
    <w:p>
      <w:pPr>
        <w:numPr>
          <w:ilvl w:val="0"/>
          <w:numId w:val="3"/>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响应文件中磋商报价表内容与响应文件中相应内容不一致的，以磋商报价表为准；</w:t>
      </w:r>
      <w:r/>
    </w:p>
    <w:p>
      <w:pPr>
        <w:numPr>
          <w:ilvl w:val="0"/>
          <w:numId w:val="3"/>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3"/>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单价金额小数点或者百分比有明显错位的，以磋商报价表的总价为准，并修改单价；</w:t>
      </w:r>
      <w:r/>
    </w:p>
    <w:p>
      <w:pPr>
        <w:numPr>
          <w:ilvl w:val="0"/>
          <w:numId w:val="3"/>
        </w:numPr>
        <w:ind w:firstLine="638"/>
        <w:jc w:val="left"/>
        <w:spacing w:line="360" w:lineRule="auto"/>
        <w:tabs>
          <w:tab w:val="clear" w:pos="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color w:val="auto"/>
          <w:sz w:val="24"/>
          <w:szCs w:val="24"/>
          <w:highlight w:val="none"/>
        </w:rPr>
        <w:t xml:space="preserve">加盖供应商公章，或由法定代表人或其授权的代表签字。</w:t>
      </w:r>
      <w:r>
        <w:rPr>
          <w:rFonts w:hint="eastAsia" w:ascii="宋体" w:hAnsi="宋体"/>
          <w:bCs/>
          <w:color w:val="auto"/>
          <w:sz w:val="24"/>
          <w:highlight w:val="none"/>
        </w:rPr>
        <w:t xml:space="preserve">供应商不确认的，其报价无效。</w:t>
      </w:r>
      <w:bookmarkEnd w:id="62"/>
      <w:r/>
      <w:bookmarkEnd w:id="70"/>
      <w:r/>
      <w:r/>
    </w:p>
    <w:p>
      <w:pPr>
        <w:ind w:firstLine="482"/>
        <w:jc w:val="left"/>
        <w:spacing w:line="360" w:lineRule="auto"/>
        <w:tabs>
          <w:tab w:val="left" w:pos="425" w:leader="none"/>
        </w:tabs>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21.9.3根据《关于推动解决政府采购异常低价问题相关工作的通知》（苏财购〔2025〕62号）规定，本项目评审时由磋商小组启动异常低价投标（响应）审查。评审过程中出现下列情形之一的，</w:t>
      </w:r>
      <w:bookmarkStart w:id="71" w:name="_Hlk203661649"/>
      <w:r>
        <w:rPr>
          <w:rFonts w:hint="eastAsia" w:ascii="宋体" w:hAnsi="宋体" w:cs="宋体"/>
          <w:b/>
          <w:bCs/>
          <w:color w:val="auto"/>
          <w:sz w:val="24"/>
          <w:szCs w:val="24"/>
          <w:highlight w:val="none"/>
          <w:lang w:val="zh-CN"/>
        </w:rPr>
        <w:t xml:space="preserve">磋商小组</w:t>
      </w:r>
      <w:bookmarkEnd w:id="71"/>
      <w:r>
        <w:rPr>
          <w:rFonts w:hint="eastAsia" w:ascii="宋体" w:hAnsi="宋体" w:cs="宋体"/>
          <w:b/>
          <w:bCs/>
          <w:color w:val="auto"/>
          <w:sz w:val="24"/>
          <w:szCs w:val="24"/>
          <w:highlight w:val="none"/>
          <w:lang w:val="zh-CN"/>
        </w:rPr>
        <w:t xml:space="preserve">应当启动异常低价投标（响应）审查程序：</w:t>
      </w:r>
      <w:r/>
    </w:p>
    <w:p>
      <w:pPr>
        <w:ind w:left="400"/>
        <w:jc w:val="left"/>
        <w:spacing w:line="360" w:lineRule="auto"/>
        <w:tabs>
          <w:tab w:val="left" w:pos="425" w:leader="none"/>
        </w:tabs>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①投标（响应）报价低于采购项目预算50%的，即投标（响应）报价&lt;采购项目预算×50%；</w:t>
      </w:r>
      <w:r/>
    </w:p>
    <w:p>
      <w:pPr>
        <w:ind w:left="400"/>
        <w:jc w:val="left"/>
        <w:spacing w:line="360" w:lineRule="auto"/>
        <w:tabs>
          <w:tab w:val="left" w:pos="425" w:leader="none"/>
        </w:tabs>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②投标（响应）报价低于采购项目最高限价45%的，即投标（响应）报价&lt;采购项目最高限价×45%；</w:t>
      </w:r>
      <w:r/>
    </w:p>
    <w:p>
      <w:pPr>
        <w:ind w:left="400"/>
        <w:jc w:val="left"/>
        <w:spacing w:line="360" w:lineRule="auto"/>
        <w:tabs>
          <w:tab w:val="left" w:pos="425" w:leader="none"/>
        </w:tabs>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③磋商小组认定的供应商报价过低、有可能影响产品质量或者不能诚信履约的其他情形。</w:t>
      </w:r>
      <w:r/>
    </w:p>
    <w:p>
      <w:pPr>
        <w:ind w:firstLine="482"/>
        <w:jc w:val="left"/>
        <w:spacing w:line="360" w:lineRule="auto"/>
        <w:tabs>
          <w:tab w:val="left" w:pos="425" w:leader="none"/>
        </w:tabs>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启动异常低价投标（响应）审查后，磋商小组应当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bookmarkEnd w:id="63"/>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21.10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磋商小组初步评审意见。</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w:t>
      </w:r>
      <w:r>
        <w:rPr>
          <w:rFonts w:ascii="宋体"/>
          <w:b/>
          <w:color w:val="auto"/>
          <w:sz w:val="24"/>
          <w:szCs w:val="24"/>
          <w:highlight w:val="none"/>
        </w:rPr>
        <w:t xml:space="preserve">2</w:t>
      </w:r>
      <w:r>
        <w:rPr>
          <w:rFonts w:hint="eastAsia" w:ascii="宋体"/>
          <w:b/>
          <w:color w:val="auto"/>
          <w:sz w:val="24"/>
          <w:szCs w:val="24"/>
          <w:highlight w:val="none"/>
        </w:rPr>
        <w:t xml:space="preserve">、确定成交供应商</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22.1 </w:t>
      </w:r>
      <w:r>
        <w:rPr>
          <w:rFonts w:hint="eastAsia" w:ascii="宋体"/>
          <w:bCs/>
          <w:color w:val="auto"/>
          <w:sz w:val="24"/>
          <w:szCs w:val="24"/>
          <w:highlight w:val="none"/>
          <w:lang w:val="zh-CN"/>
        </w:rPr>
        <w:t xml:space="preserve">评审结束后，采购人依照法律规定在收到评审报告后5个工作日内，在评审报告推荐的成交候选人中</w:t>
      </w:r>
      <w:r>
        <w:rPr>
          <w:rFonts w:hint="eastAsia" w:ascii="宋体"/>
          <w:bCs/>
          <w:color w:val="auto"/>
          <w:sz w:val="24"/>
          <w:szCs w:val="24"/>
          <w:highlight w:val="none"/>
        </w:rPr>
        <w:t xml:space="preserve">按顺序</w:t>
      </w:r>
      <w:r>
        <w:rPr>
          <w:rFonts w:hint="eastAsia" w:ascii="宋体"/>
          <w:bCs/>
          <w:color w:val="auto"/>
          <w:sz w:val="24"/>
          <w:szCs w:val="24"/>
          <w:highlight w:val="none"/>
          <w:lang w:val="zh-CN"/>
        </w:rPr>
        <w:t xml:space="preserve">确定成交供应商。</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rPr>
        <w:t xml:space="preserve">22.2 </w:t>
      </w:r>
      <w:r>
        <w:rPr>
          <w:rFonts w:hint="eastAsia" w:ascii="宋体"/>
          <w:bCs/>
          <w:color w:val="auto"/>
          <w:sz w:val="24"/>
          <w:szCs w:val="24"/>
          <w:highlight w:val="none"/>
          <w:lang w:val="zh-CN"/>
        </w:rPr>
        <w:t xml:space="preserve">成交结果确认后，</w:t>
      </w:r>
      <w:r>
        <w:rPr>
          <w:rFonts w:hint="eastAsia" w:ascii="宋体" w:hAnsi="宋体"/>
          <w:bCs/>
          <w:color w:val="auto"/>
          <w:sz w:val="24"/>
          <w:szCs w:val="24"/>
          <w:highlight w:val="none"/>
          <w:lang w:val="zh-CN"/>
        </w:rPr>
        <w:t xml:space="preserve">采购代理机构</w:t>
      </w:r>
      <w:r>
        <w:rPr>
          <w:rFonts w:hint="eastAsia" w:ascii="宋体"/>
          <w:bCs/>
          <w:color w:val="auto"/>
          <w:sz w:val="24"/>
          <w:szCs w:val="24"/>
          <w:highlight w:val="none"/>
          <w:lang w:val="zh-CN"/>
        </w:rPr>
        <w:t xml:space="preserve">将向成交供应商发出电子成交通知书，请成交供应商登录“苏采云” 系统及时下载成交通知书。因系统存储空间有限，自成交结果公告发布之日起30日后，“苏采云”系统不再保证提供下载成交通知书服务。因未及时下载而造成的一切后果由成交供应商自行承担。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23、采购终止</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rPr>
        <w:t xml:space="preserve">23.1 </w:t>
      </w:r>
      <w:r>
        <w:rPr>
          <w:rFonts w:hint="eastAsia" w:ascii="宋体"/>
          <w:bCs/>
          <w:color w:val="auto"/>
          <w:sz w:val="24"/>
          <w:szCs w:val="24"/>
          <w:highlight w:val="none"/>
          <w:lang w:val="zh-CN"/>
        </w:rPr>
        <w:t xml:space="preserve">在竞争性磋商方式采购中，出现下列情况之一的，本次采购活动终止：</w:t>
      </w:r>
      <w:r/>
    </w:p>
    <w:p>
      <w:pPr>
        <w:numPr>
          <w:ilvl w:val="0"/>
          <w:numId w:val="4"/>
        </w:numPr>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因情况变化，不再符合规定的竞争性磋商方式采购方式适用情形的；</w:t>
      </w:r>
      <w:r/>
    </w:p>
    <w:p>
      <w:pPr>
        <w:numPr>
          <w:ilvl w:val="0"/>
          <w:numId w:val="4"/>
        </w:numPr>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出现影响采购公正的违法、违规行为的；</w:t>
      </w:r>
      <w:r/>
    </w:p>
    <w:p>
      <w:pPr>
        <w:numPr>
          <w:ilvl w:val="0"/>
          <w:numId w:val="4"/>
        </w:numPr>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除市场竞争不充分的科研项目，以及需要扶持的科技成果转化项目以外，在采购过程中符合竞争要求的供应商或者报价未超过采购预算的供应商不足3家的。</w:t>
      </w:r>
      <w:r/>
    </w:p>
    <w:p>
      <w:pPr>
        <w:ind w:firstLine="482"/>
        <w:spacing w:line="360" w:lineRule="auto"/>
        <w:rPr>
          <w:rFonts w:hint="eastAsia" w:ascii="宋体" w:hAnsi="宋体"/>
          <w:b/>
          <w:color w:val="auto"/>
          <w:sz w:val="24"/>
          <w:szCs w:val="24"/>
          <w:highlight w:val="none"/>
          <w:lang w:val="zh-CN"/>
        </w:rPr>
      </w:pPr>
      <w:r/>
      <w:bookmarkStart w:id="72" w:name="_Toc6050"/>
      <w:r/>
      <w:bookmarkStart w:id="73" w:name="_Toc1252"/>
      <w:r/>
      <w:bookmarkStart w:id="74" w:name="_Toc23122"/>
      <w:r>
        <w:rPr>
          <w:rFonts w:hint="eastAsia" w:ascii="宋体" w:hAnsi="宋体"/>
          <w:b/>
          <w:color w:val="auto"/>
          <w:sz w:val="24"/>
          <w:szCs w:val="24"/>
          <w:highlight w:val="none"/>
          <w:lang w:val="zh-CN"/>
        </w:rPr>
        <w:t xml:space="preserve">六、磋商保证金</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24、磋商保证金：本项目免收磋商保证金。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w:t>
      </w:r>
      <w:r>
        <w:rPr>
          <w:rFonts w:hint="eastAsia" w:ascii="宋体" w:hAnsi="宋体"/>
          <w:b/>
          <w:color w:val="auto"/>
          <w:sz w:val="24"/>
          <w:szCs w:val="24"/>
          <w:highlight w:val="none"/>
          <w:lang w:val="zh-CN"/>
        </w:rPr>
        <w:t xml:space="preserve">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25.1 </w:t>
      </w:r>
      <w:bookmarkStart w:id="75" w:name="OLE_LINK39"/>
      <w:r>
        <w:rPr>
          <w:rFonts w:hint="eastAsia" w:ascii="宋体" w:hAnsi="宋体"/>
          <w:bCs/>
          <w:color w:val="auto"/>
          <w:sz w:val="24"/>
          <w:szCs w:val="24"/>
          <w:highlight w:val="none"/>
          <w:lang w:val="zh-CN"/>
        </w:rPr>
        <w:t xml:space="preserve">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bookmarkEnd w:id="75"/>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25.2 </w:t>
      </w:r>
      <w:r>
        <w:rPr>
          <w:rFonts w:hint="eastAsia" w:ascii="宋体" w:hAnsi="宋体"/>
          <w:bCs/>
          <w:color w:val="auto"/>
          <w:sz w:val="24"/>
          <w:szCs w:val="24"/>
          <w:highlight w:val="none"/>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成交供应商如逾期不办理相关手续、签订合同，财政部门将依据有关规定进行处理。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25.3 </w:t>
      </w:r>
      <w:r>
        <w:rPr>
          <w:rFonts w:hint="eastAsia" w:ascii="宋体" w:hAnsi="宋体"/>
          <w:bCs/>
          <w:color w:val="auto"/>
          <w:sz w:val="24"/>
          <w:szCs w:val="24"/>
          <w:highlight w:val="none"/>
          <w:lang w:val="zh-CN"/>
        </w:rPr>
        <w:t xml:space="preserve">签订合同书及合同条款应以磋商文件和成交供应商的响应文件为依据。</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25.4</w:t>
      </w:r>
      <w:r>
        <w:rPr>
          <w:rFonts w:hint="eastAsia" w:ascii="宋体" w:hAnsi="宋体"/>
          <w:b/>
          <w:color w:val="auto"/>
          <w:sz w:val="24"/>
          <w:szCs w:val="24"/>
          <w:highlight w:val="none"/>
          <w:lang w:val="zh-CN"/>
        </w:rPr>
        <w:t xml:space="preserve">本项目不收取履约保证金</w:t>
      </w:r>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zh-CN"/>
        </w:rPr>
        <w:t xml:space="preserve">.</w:t>
      </w:r>
      <w:bookmarkStart w:id="76" w:name="OLE_LINK5"/>
      <w:r>
        <w:rPr>
          <w:rFonts w:hint="eastAsia" w:ascii="宋体" w:hAnsi="宋体"/>
          <w:bCs/>
          <w:color w:val="auto"/>
          <w:sz w:val="24"/>
          <w:szCs w:val="24"/>
          <w:highlight w:val="none"/>
        </w:rPr>
        <w:t xml:space="preserve">5 </w:t>
      </w:r>
      <w:r>
        <w:rPr>
          <w:rFonts w:hint="eastAsia" w:ascii="宋体" w:hAnsi="宋体"/>
          <w:bCs/>
          <w:color w:val="auto"/>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7" w:name="OLE_LINK2"/>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成交供应商不得参加对该项</w:t>
      </w:r>
      <w:bookmarkEnd w:id="77"/>
      <w:r>
        <w:rPr>
          <w:rFonts w:hint="eastAsia" w:ascii="宋体" w:hAnsi="宋体"/>
          <w:bCs/>
          <w:color w:val="auto"/>
          <w:sz w:val="24"/>
          <w:szCs w:val="24"/>
          <w:highlight w:val="none"/>
          <w:lang w:val="zh-CN"/>
        </w:rPr>
        <w:t xml:space="preserve">目重新开展的采购活动。</w:t>
      </w:r>
      <w:bookmarkEnd w:id="76"/>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成交候选人放弃成交资格的，参照前款进行处理。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6</w:t>
      </w:r>
      <w:r>
        <w:rPr>
          <w:rFonts w:hint="eastAsia" w:ascii="宋体" w:hAnsi="宋体"/>
          <w:bCs/>
          <w:color w:val="auto"/>
          <w:sz w:val="24"/>
          <w:szCs w:val="24"/>
          <w:highlight w:val="none"/>
          <w:lang w:val="zh-CN"/>
        </w:rPr>
        <w:t xml:space="preserve">、政府采购合同融资</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26.1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八、报价行为及报价产品</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27、报价行为及报价产品：</w:t>
      </w:r>
      <w:r/>
    </w:p>
    <w:p>
      <w:pPr>
        <w:numPr>
          <w:ilvl w:val="0"/>
          <w:numId w:val="5"/>
        </w:numPr>
        <w:spacing w:line="360" w:lineRule="auto"/>
        <w:tabs>
          <w:tab w:val="clear" w:pos="0" w:leader="none"/>
        </w:tabs>
        <w:rPr>
          <w:rFonts w:hint="eastAsia" w:ascii="宋体" w:hAnsi="宋体"/>
          <w:bCs/>
          <w:color w:val="auto"/>
          <w:sz w:val="24"/>
          <w:szCs w:val="24"/>
          <w:highlight w:val="none"/>
          <w:lang w:val="zh-CN"/>
        </w:rPr>
      </w:pPr>
      <w:r/>
      <w:bookmarkStart w:id="78" w:name="OLE_LINK17"/>
      <w:r>
        <w:rPr>
          <w:rFonts w:hint="eastAsia" w:ascii="宋体" w:hAnsi="宋体"/>
          <w:bCs/>
          <w:color w:val="auto"/>
          <w:sz w:val="24"/>
          <w:szCs w:val="24"/>
          <w:highlight w:val="none"/>
          <w:lang w:val="zh-CN"/>
        </w:rPr>
        <w:t xml:space="preserve">供应商的行为必须遵守各项法律、法规、规章及相关制度的规定。</w:t>
      </w:r>
      <w:r/>
    </w:p>
    <w:p>
      <w:pPr>
        <w:numPr>
          <w:ilvl w:val="0"/>
          <w:numId w:val="5"/>
        </w:numPr>
        <w:spacing w:line="360" w:lineRule="auto"/>
        <w:tabs>
          <w:tab w:val="clear" w:pos="0"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提供的服务及产品、产品安装（施工）等应符合国家、行业等相关标准及要求。</w:t>
      </w:r>
      <w:r/>
    </w:p>
    <w:p>
      <w:pPr>
        <w:numPr>
          <w:ilvl w:val="0"/>
          <w:numId w:val="5"/>
        </w:numPr>
        <w:spacing w:line="360" w:lineRule="auto"/>
        <w:tabs>
          <w:tab w:val="clear" w:pos="0"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供应商提供的产品应是全新、未使用过的原装合格正品。</w:t>
      </w:r>
      <w:r>
        <w:rPr>
          <w:rFonts w:hint="eastAsia" w:ascii="宋体" w:hAnsi="宋体"/>
          <w:bCs/>
          <w:color w:val="auto"/>
          <w:sz w:val="24"/>
          <w:highlight w:val="none"/>
        </w:rPr>
        <w:t xml:space="preserve">供应商成交后，在供货期内如遇产品平滑（自然）升级，成交供应商应提供平滑升级商品不补差价（磋商文件中有特殊要求的除外）。</w:t>
      </w:r>
      <w:r/>
    </w:p>
    <w:p>
      <w:pPr>
        <w:numPr>
          <w:ilvl w:val="0"/>
          <w:numId w:val="5"/>
        </w:numPr>
        <w:spacing w:line="360" w:lineRule="auto"/>
        <w:tabs>
          <w:tab w:val="clear" w:pos="0"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磋商文件中要求供应商出具的证书等相关材料，均应在有效期限内，即有效期限应覆盖响应文件评审当日。</w:t>
      </w:r>
      <w:bookmarkEnd w:id="78"/>
      <w:r/>
      <w:r/>
    </w:p>
    <w:p>
      <w:pPr>
        <w:ind w:firstLine="482"/>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28、</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和磋商文件的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以及供应商提供的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对供应商</w:t>
      </w:r>
      <w:r>
        <w:rPr>
          <w:rFonts w:hint="eastAsia" w:ascii="宋体" w:hAnsi="宋体"/>
          <w:bCs/>
          <w:color w:val="auto"/>
          <w:sz w:val="24"/>
          <w:szCs w:val="24"/>
          <w:highlight w:val="none"/>
          <w:lang w:val="zh-CN"/>
        </w:rPr>
        <w:t xml:space="preserve">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政府采购项目验收单。由采购人对成交供应商进行履约管理，并及时向成交供应商支付采购资金。</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spacing w:line="360" w:lineRule="auto"/>
        <w:rPr>
          <w:rFonts w:hint="eastAsia" w:ascii="宋体" w:hAnsi="宋体"/>
          <w:bCs/>
          <w:color w:val="auto"/>
          <w:sz w:val="24"/>
          <w:szCs w:val="24"/>
          <w:highlight w:val="none"/>
        </w:rPr>
      </w:pPr>
      <w:r/>
      <w:bookmarkStart w:id="79" w:name="OLE_LINK126"/>
      <w:r/>
      <w:bookmarkStart w:id="80" w:name="OLE_LINK41"/>
      <w:r>
        <w:rPr>
          <w:rFonts w:hint="eastAsia" w:ascii="宋体" w:hAnsi="宋体"/>
          <w:bCs/>
          <w:color w:val="auto"/>
          <w:sz w:val="24"/>
          <w:szCs w:val="24"/>
          <w:highlight w:val="none"/>
        </w:rPr>
        <w:t xml:space="preserve">29、询问</w:t>
      </w:r>
      <w:r/>
    </w:p>
    <w:p>
      <w:pPr>
        <w:ind w:firstLine="480"/>
        <w:spacing w:line="360" w:lineRule="auto"/>
        <w:rPr>
          <w:rFonts w:hint="eastAsia" w:ascii="宋体" w:hAnsi="宋体"/>
          <w:bCs/>
          <w:color w:val="auto"/>
          <w:sz w:val="24"/>
          <w:szCs w:val="24"/>
          <w:highlight w:val="none"/>
          <w:lang w:val="zh-CN"/>
        </w:rPr>
      </w:pPr>
      <w:r/>
      <w:bookmarkStart w:id="81" w:name="OLE_LINK25"/>
      <w:r>
        <w:rPr>
          <w:rFonts w:hint="eastAsia" w:ascii="宋体" w:hAnsi="宋体"/>
          <w:bCs/>
          <w:color w:val="auto"/>
          <w:sz w:val="24"/>
          <w:szCs w:val="24"/>
          <w:highlight w:val="none"/>
        </w:rPr>
        <w:t xml:space="preserve">29.1 </w:t>
      </w:r>
      <w:r>
        <w:rPr>
          <w:rFonts w:hint="eastAsia" w:ascii="宋体" w:hAnsi="宋体"/>
          <w:bCs/>
          <w:color w:val="auto"/>
          <w:sz w:val="24"/>
          <w:szCs w:val="24"/>
          <w:highlight w:val="none"/>
          <w:lang w:val="zh-CN"/>
        </w:rPr>
        <w:t xml:space="preserve">供应商对采购活动事项有疑问的，可以向</w:t>
      </w:r>
      <w:bookmarkStart w:id="82" w:name="OLE_LINK24"/>
      <w:r>
        <w:rPr>
          <w:rFonts w:hint="eastAsia" w:ascii="宋体" w:hAnsi="宋体"/>
          <w:bCs/>
          <w:color w:val="auto"/>
          <w:sz w:val="24"/>
          <w:szCs w:val="24"/>
          <w:highlight w:val="none"/>
          <w:lang w:val="zh-CN"/>
        </w:rPr>
        <w:t xml:space="preserve">采购人</w:t>
      </w:r>
      <w:bookmarkEnd w:id="82"/>
      <w:r>
        <w:rPr>
          <w:rFonts w:hint="eastAsia" w:ascii="宋体" w:hAnsi="宋体"/>
          <w:bCs/>
          <w:color w:val="auto"/>
          <w:sz w:val="24"/>
          <w:szCs w:val="24"/>
          <w:highlight w:val="none"/>
          <w:lang w:val="zh-CN"/>
        </w:rPr>
        <w:t xml:space="preserve">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bookmarkEnd w:id="81"/>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29.2</w:t>
      </w:r>
      <w:r>
        <w:rPr>
          <w:rFonts w:hint="eastAsia" w:ascii="宋体" w:hAnsi="宋体"/>
          <w:bCs/>
          <w:color w:val="auto"/>
          <w:sz w:val="24"/>
          <w:szCs w:val="24"/>
          <w:highlight w:val="none"/>
        </w:rPr>
        <w:t xml:space="preserve">采购代理</w:t>
      </w:r>
      <w:r>
        <w:rPr>
          <w:rFonts w:hint="eastAsia" w:ascii="宋体" w:hAnsi="宋体"/>
          <w:bCs/>
          <w:color w:val="auto"/>
          <w:sz w:val="24"/>
          <w:szCs w:val="24"/>
          <w:highlight w:val="none"/>
          <w:lang w:val="zh-CN"/>
        </w:rPr>
        <w:t xml:space="preserve">机构不负责向任何供应商解释评审情况。</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30、质疑</w:t>
      </w:r>
      <w:r/>
    </w:p>
    <w:p>
      <w:pPr>
        <w:ind w:firstLine="480"/>
        <w:jc w:val="left"/>
        <w:spacing w:line="360" w:lineRule="auto"/>
        <w:rPr>
          <w:rFonts w:hint="eastAsia" w:ascii="宋体" w:hAnsi="宋体"/>
          <w:bCs/>
          <w:color w:val="auto"/>
          <w:sz w:val="24"/>
          <w:szCs w:val="24"/>
          <w:highlight w:val="none"/>
          <w:lang w:val="zh-CN"/>
        </w:rPr>
      </w:pPr>
      <w:r>
        <w:rPr>
          <w:rFonts w:ascii="宋体" w:hAnsi="宋体"/>
          <w:bCs/>
          <w:color w:val="auto"/>
          <w:sz w:val="24"/>
          <w:szCs w:val="24"/>
          <w:highlight w:val="none"/>
        </w:rPr>
        <w:t xml:space="preserve">30</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HYPERLINK "http://download.ccgp.gov.cn/2018/zhiyihanfanben.zip" \t "_blank"</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color w:val="auto"/>
          <w:highlight w:val="none"/>
        </w:rPr>
        <w:fldChar w:fldCharType="end"/>
      </w:r>
      <w:r>
        <w:rPr>
          <w:rFonts w:hint="eastAsia" w:ascii="宋体" w:hAnsi="宋体"/>
          <w:bCs/>
          <w:color w:val="auto"/>
          <w:sz w:val="24"/>
          <w:szCs w:val="24"/>
          <w:highlight w:val="none"/>
          <w:lang w:val="zh-CN"/>
        </w:rPr>
        <w:t xml:space="preserve">》）。同一项目下的不同采购包，供应商只能对其参与的采购包提出质疑。</w:t>
      </w:r>
      <w:r/>
    </w:p>
    <w:p>
      <w:pPr>
        <w:ind w:firstLine="480"/>
        <w:spacing w:line="360" w:lineRule="auto"/>
        <w:rPr>
          <w:rFonts w:hint="eastAsia" w:ascii="宋体" w:hAnsi="宋体"/>
          <w:b/>
          <w:color w:val="auto"/>
          <w:sz w:val="24"/>
          <w:szCs w:val="24"/>
          <w:highlight w:val="none"/>
          <w:lang w:val="zh-CN"/>
        </w:rPr>
      </w:pPr>
      <w:r>
        <w:rPr>
          <w:rFonts w:hint="eastAsia" w:ascii="宋体" w:hAnsi="宋体"/>
          <w:bCs/>
          <w:color w:val="auto"/>
          <w:sz w:val="24"/>
          <w:szCs w:val="24"/>
          <w:highlight w:val="none"/>
        </w:rPr>
        <w:t xml:space="preserve">30.2</w:t>
      </w:r>
      <w:r>
        <w:rPr>
          <w:rFonts w:hint="eastAsia" w:ascii="宋体" w:hAnsi="宋体"/>
          <w:b/>
          <w:color w:val="auto"/>
          <w:sz w:val="24"/>
          <w:szCs w:val="24"/>
          <w:highlight w:val="none"/>
          <w:lang w:val="zh-CN"/>
        </w:rPr>
        <w:t xml:space="preserve">质疑答复责任主体：</w:t>
      </w:r>
      <w:r/>
    </w:p>
    <w:p>
      <w:pPr>
        <w:numPr>
          <w:ilvl w:val="0"/>
          <w:numId w:val="6"/>
        </w:numPr>
        <w:spacing w:line="360" w:lineRule="auto"/>
        <w:tabs>
          <w:tab w:val="clear" w:pos="0"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供应商</w:t>
      </w:r>
      <w:r>
        <w:rPr>
          <w:rFonts w:ascii="宋体" w:hAnsi="宋体"/>
          <w:bCs/>
          <w:color w:val="auto"/>
          <w:sz w:val="24"/>
          <w:szCs w:val="24"/>
          <w:highlight w:val="none"/>
          <w:lang w:val="zh-CN"/>
        </w:rPr>
        <w:t xml:space="preserve">认为</w:t>
      </w:r>
      <w:r>
        <w:rPr>
          <w:rFonts w:hint="eastAsia" w:ascii="宋体" w:hAnsi="宋体"/>
          <w:b/>
          <w:color w:val="auto"/>
          <w:sz w:val="24"/>
          <w:szCs w:val="24"/>
          <w:highlight w:val="none"/>
          <w:lang w:val="zh-CN"/>
        </w:rPr>
        <w:t xml:space="preserve">磋商文件</w:t>
      </w:r>
      <w:r>
        <w:rPr>
          <w:rFonts w:ascii="宋体" w:hAnsi="宋体"/>
          <w:b/>
          <w:color w:val="auto"/>
          <w:sz w:val="24"/>
          <w:szCs w:val="24"/>
          <w:highlight w:val="none"/>
          <w:lang w:val="zh-CN"/>
        </w:rPr>
        <w:t xml:space="preserve">、采购过程和成交结果</w:t>
      </w:r>
      <w:r>
        <w:rPr>
          <w:rFonts w:ascii="宋体" w:hAnsi="宋体"/>
          <w:bCs/>
          <w:color w:val="auto"/>
          <w:sz w:val="24"/>
          <w:szCs w:val="24"/>
          <w:highlight w:val="none"/>
          <w:lang w:val="zh-CN"/>
        </w:rPr>
        <w:t xml:space="preserve">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numPr>
          <w:ilvl w:val="0"/>
          <w:numId w:val="6"/>
        </w:numPr>
        <w:spacing w:line="360" w:lineRule="auto"/>
        <w:tabs>
          <w:tab w:val="clear" w:pos="0"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供应商认为</w:t>
      </w:r>
      <w:r>
        <w:rPr>
          <w:rFonts w:hint="eastAsia" w:ascii="宋体" w:hAnsi="宋体"/>
          <w:b/>
          <w:color w:val="auto"/>
          <w:sz w:val="24"/>
          <w:szCs w:val="24"/>
          <w:highlight w:val="none"/>
          <w:lang w:val="zh-CN"/>
        </w:rPr>
        <w:t xml:space="preserve">采购程序及流程操作</w:t>
      </w:r>
      <w:r>
        <w:rPr>
          <w:rFonts w:hint="eastAsia" w:ascii="宋体" w:hAnsi="宋体"/>
          <w:bCs/>
          <w:color w:val="auto"/>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r/>
    </w:p>
    <w:p>
      <w:pPr>
        <w:ind w:firstLine="42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30.3 </w:t>
      </w:r>
      <w:r>
        <w:rPr>
          <w:rFonts w:hint="eastAsia" w:ascii="宋体" w:hAnsi="宋体"/>
          <w:b/>
          <w:color w:val="auto"/>
          <w:sz w:val="24"/>
          <w:szCs w:val="24"/>
          <w:highlight w:val="none"/>
        </w:rPr>
        <w:t xml:space="preserve">质疑时效期间的起算</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质疑时效期间的起算：对磋商文件提出质疑的，应自采购公告期限届满之日起计算，本次采购供应商应当收到采购文件期限和采购文件公告届满期限均为采购公告发布之日起三个工作日；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2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30.4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 投诉</w:t>
      </w:r>
      <w:r/>
    </w:p>
    <w:p>
      <w:pPr>
        <w:ind w:firstLine="480"/>
        <w:spacing w:line="360" w:lineRule="auto"/>
        <w:rPr>
          <w:rFonts w:ascii="黑体" w:eastAsia="黑体"/>
          <w:color w:val="auto"/>
          <w:sz w:val="28"/>
          <w:highlight w:val="none"/>
        </w:rPr>
      </w:pPr>
      <w:r>
        <w:rPr>
          <w:rFonts w:hint="eastAsia" w:ascii="宋体" w:hAnsi="宋体"/>
          <w:bCs/>
          <w:color w:val="auto"/>
          <w:sz w:val="24"/>
          <w:szCs w:val="24"/>
          <w:highlight w:val="none"/>
        </w:rPr>
        <w:t xml:space="preserve">31.1</w:t>
      </w:r>
      <w:bookmarkEnd w:id="79"/>
      <w:r/>
      <w:bookmarkEnd w:id="80"/>
      <w:r>
        <w:rPr>
          <w:rFonts w:hint="eastAsia" w:ascii="宋体" w:hAnsi="宋体"/>
          <w:bCs/>
          <w:color w:val="auto"/>
          <w:sz w:val="24"/>
          <w:szCs w:val="24"/>
          <w:highlight w:val="none"/>
          <w:lang w:val="zh-CN"/>
        </w:rPr>
        <w:t xml:space="preserve">质疑供应商对采购人的答复不满意或者采购人未在规定的时间内作出答复的，可以在答复期满后十五个工作日内向报价邀请函中的财政监管部门提出投诉。</w:t>
      </w:r>
      <w:r>
        <w:rPr>
          <w:rFonts w:hint="eastAsia" w:ascii="黑体" w:eastAsia="黑体"/>
          <w:color w:val="auto"/>
          <w:sz w:val="28"/>
          <w:highlight w:val="none"/>
        </w:rPr>
        <w:t xml:space="preserve">                 </w:t>
      </w:r>
      <w:r/>
    </w:p>
    <w:p>
      <w:pPr>
        <w:ind w:firstLine="1960"/>
        <w:spacing w:line="360" w:lineRule="auto"/>
        <w:rPr>
          <w:rFonts w:ascii="黑体" w:eastAsia="黑体"/>
          <w:color w:val="auto"/>
          <w:sz w:val="28"/>
          <w:highlight w:val="none"/>
        </w:rPr>
        <w:outlineLvl w:val="0"/>
      </w:pPr>
      <w:r>
        <w:rPr>
          <w:rFonts w:hint="eastAsia" w:ascii="黑体" w:eastAsia="黑体"/>
          <w:color w:val="auto"/>
          <w:sz w:val="28"/>
          <w:highlight w:val="none"/>
        </w:rPr>
        <w:t xml:space="preserve"> </w:t>
      </w:r>
      <w:bookmarkEnd w:id="72"/>
      <w:r/>
      <w:bookmarkEnd w:id="73"/>
      <w:r/>
      <w:bookmarkStart w:id="83" w:name="_Toc56600392"/>
      <w:r/>
      <w:bookmarkStart w:id="84" w:name="_Toc56599576"/>
      <w:r>
        <w:rPr>
          <w:rFonts w:ascii="黑体" w:eastAsia="黑体"/>
          <w:color w:val="auto"/>
          <w:sz w:val="28"/>
          <w:highlight w:val="none"/>
        </w:rPr>
        <w:t xml:space="preserve">    </w:t>
      </w:r>
      <w:r/>
    </w:p>
    <w:p>
      <w:pPr>
        <w:jc w:val="left"/>
        <w:widowControl/>
        <w:rPr>
          <w:rFonts w:ascii="黑体" w:eastAsia="黑体"/>
          <w:color w:val="auto"/>
          <w:sz w:val="28"/>
          <w:highlight w:val="none"/>
        </w:rPr>
      </w:pPr>
      <w:r>
        <w:rPr>
          <w:rFonts w:ascii="黑体" w:eastAsia="黑体"/>
          <w:color w:val="auto"/>
          <w:sz w:val="28"/>
          <w:highlight w:val="none"/>
        </w:rPr>
        <w:br w:type="page" w:clear="all"/>
      </w:r>
      <w:r/>
    </w:p>
    <w:p>
      <w:pPr>
        <w:ind w:firstLine="2800"/>
        <w:spacing w:line="360" w:lineRule="auto"/>
        <w:rPr>
          <w:rFonts w:ascii="黑体" w:eastAsia="黑体"/>
          <w:color w:val="auto"/>
          <w:sz w:val="28"/>
          <w:highlight w:val="none"/>
        </w:rPr>
        <w:outlineLvl w:val="0"/>
      </w:pPr>
      <w:r>
        <w:rPr>
          <w:rFonts w:ascii="黑体" w:eastAsia="黑体"/>
          <w:color w:val="auto"/>
          <w:sz w:val="28"/>
          <w:highlight w:val="none"/>
        </w:rPr>
        <w:t xml:space="preserve"> </w:t>
      </w:r>
      <w:bookmarkStart w:id="85" w:name="_Toc184189853"/>
      <w:r>
        <w:rPr>
          <w:rFonts w:hint="eastAsia" w:ascii="黑体" w:eastAsia="黑体"/>
          <w:color w:val="auto"/>
          <w:sz w:val="28"/>
          <w:highlight w:val="none"/>
        </w:rPr>
        <w:t xml:space="preserve">第三章 项目技术要求和有关说明</w:t>
      </w:r>
      <w:bookmarkEnd w:id="85"/>
      <w:r/>
      <w:r/>
    </w:p>
    <w:p>
      <w:pPr>
        <w:ind w:firstLine="480"/>
        <w:jc w:val="left"/>
        <w:spacing w:line="440" w:lineRule="exact"/>
        <w:widowControl/>
        <w:rPr>
          <w:rFonts w:hint="eastAsia" w:ascii="宋体" w:hAnsi="宋体"/>
          <w:bCs/>
          <w:color w:val="000000" w:themeColor="text1"/>
          <w:sz w:val="24"/>
          <w:szCs w:val="24"/>
          <w:lang w:eastAsia="zh-CN"/>
          <w14:textFill>
            <w14:solidFill>
              <w14:schemeClr w14:val="tx1"/>
            </w14:solidFill>
          </w14:textFill>
        </w:rPr>
      </w:pPr>
      <w:r/>
      <w:bookmarkStart w:id="86" w:name="_Toc184189854"/>
      <w:r>
        <w:rPr>
          <w:rFonts w:hint="eastAsia" w:ascii="宋体" w:hAnsi="宋体"/>
          <w:bCs/>
          <w:color w:val="000000" w:themeColor="text1"/>
          <w:sz w:val="24"/>
          <w:szCs w:val="24"/>
          <w14:textFill>
            <w14:solidFill>
              <w14:schemeClr w14:val="tx1"/>
            </w14:solidFill>
          </w14:textFill>
        </w:rPr>
        <w:t xml:space="preserve">本项目为宜兴市自然资源和规划局</w:t>
      </w:r>
      <w:r>
        <w:rPr>
          <w:rFonts w:hint="eastAsia" w:ascii="宋体" w:hAnsi="宋体"/>
          <w:bCs/>
          <w:color w:val="000000" w:themeColor="text1"/>
          <w:sz w:val="24"/>
          <w:szCs w:val="24"/>
          <w:lang w:val="en-US" w:eastAsia="zh-CN"/>
          <w14:textFill>
            <w14:solidFill>
              <w14:schemeClr w14:val="tx1"/>
            </w14:solidFill>
          </w14:textFill>
        </w:rPr>
        <w:t xml:space="preserve">档案数字化服务项目</w:t>
      </w:r>
      <w:r>
        <w:rPr>
          <w:rFonts w:hint="eastAsia" w:ascii="宋体" w:hAnsi="宋体"/>
          <w:bCs/>
          <w:color w:val="000000" w:themeColor="text1"/>
          <w:sz w:val="24"/>
          <w:szCs w:val="24"/>
          <w14:textFill>
            <w14:solidFill>
              <w14:schemeClr w14:val="tx1"/>
            </w14:solidFill>
          </w14:textFill>
        </w:rPr>
        <w:t xml:space="preserve">，具体要求如下，供应商须提供满足以下要求的服务，不得有负偏离</w:t>
      </w:r>
      <w:r>
        <w:rPr>
          <w:rFonts w:hint="eastAsia" w:ascii="宋体" w:hAnsi="宋体"/>
          <w:bCs/>
          <w:color w:val="000000" w:themeColor="text1"/>
          <w:sz w:val="24"/>
          <w:szCs w:val="24"/>
          <w:lang w:eastAsia="zh-CN"/>
          <w14:textFill>
            <w14:solidFill>
              <w14:schemeClr w14:val="tx1"/>
            </w14:solidFill>
          </w14:textFill>
        </w:rPr>
        <w:t xml:space="preserve">。</w:t>
      </w:r>
      <w:r/>
    </w:p>
    <w:p>
      <w:pPr>
        <w:ind w:firstLine="241"/>
        <w:jc w:val="left"/>
        <w:spacing w:line="440" w:lineRule="exact"/>
        <w:widowControl/>
        <w:rPr>
          <w:rFonts w:hint="eastAsia" w:ascii="宋体" w:hAnsi="宋体"/>
          <w:b/>
          <w:color w:val="000000" w:themeColor="text1"/>
          <w:sz w:val="24"/>
          <w:szCs w:val="24"/>
          <w14:textFill>
            <w14:solidFill>
              <w14:schemeClr w14:val="tx1"/>
            </w14:solidFill>
          </w14:textFill>
        </w:rPr>
        <w:pBdr>
          <w:between w:val="single" w:color="auto" w:sz="4" w:space="0"/>
        </w:pBdr>
      </w:pPr>
      <w:r>
        <w:rPr>
          <w:rFonts w:hint="eastAsia" w:ascii="宋体" w:hAnsi="宋体"/>
          <w:b/>
          <w:color w:val="000000" w:themeColor="text1"/>
          <w:sz w:val="24"/>
          <w:szCs w:val="24"/>
          <w14:textFill>
            <w14:solidFill>
              <w14:schemeClr w14:val="tx1"/>
            </w14:solidFill>
          </w14:textFill>
        </w:rPr>
        <w:t xml:space="preserve">一、项目概况</w:t>
      </w:r>
      <w:r/>
    </w:p>
    <w:p>
      <w:pPr>
        <w:ind w:firstLine="480"/>
        <w:spacing w:line="440" w:lineRule="exact"/>
        <w:widowControl/>
        <w:rPr>
          <w:rFonts w:hint="eastAsia" w:ascii="宋体" w:hAnsi="宋体"/>
          <w:bCs/>
          <w:color w:val="auto"/>
          <w:sz w:val="24"/>
          <w:szCs w:val="24"/>
        </w:rPr>
      </w:pPr>
      <w:r>
        <w:rPr>
          <w:rFonts w:hint="eastAsia" w:ascii="宋体" w:hAnsi="宋体"/>
          <w:bCs/>
          <w:color w:val="auto"/>
          <w:sz w:val="24"/>
          <w:szCs w:val="24"/>
        </w:rPr>
        <w:t xml:space="preserve">宜兴市自然资源和规划局对202</w:t>
      </w:r>
      <w:r>
        <w:rPr>
          <w:rFonts w:hint="eastAsia" w:ascii="宋体" w:hAnsi="宋体"/>
          <w:bCs/>
          <w:color w:val="auto"/>
          <w:sz w:val="24"/>
          <w:szCs w:val="24"/>
          <w:lang w:val="en-US" w:eastAsia="zh-CN"/>
        </w:rPr>
        <w:t xml:space="preserve">5</w:t>
      </w:r>
      <w:r>
        <w:rPr>
          <w:rFonts w:hint="eastAsia" w:ascii="宋体" w:hAnsi="宋体"/>
          <w:bCs/>
          <w:color w:val="auto"/>
          <w:sz w:val="24"/>
          <w:szCs w:val="24"/>
        </w:rPr>
        <w:t xml:space="preserve">-202</w:t>
      </w:r>
      <w:r>
        <w:rPr>
          <w:rFonts w:hint="eastAsia" w:ascii="宋体" w:hAnsi="宋体"/>
          <w:bCs/>
          <w:color w:val="auto"/>
          <w:sz w:val="24"/>
          <w:szCs w:val="24"/>
          <w:lang w:val="en-US" w:eastAsia="zh-CN"/>
        </w:rPr>
        <w:t xml:space="preserve">6</w:t>
      </w:r>
      <w:r>
        <w:rPr>
          <w:rFonts w:hint="eastAsia" w:ascii="宋体" w:hAnsi="宋体"/>
          <w:bCs/>
          <w:color w:val="auto"/>
          <w:sz w:val="24"/>
          <w:szCs w:val="24"/>
        </w:rPr>
        <w:t xml:space="preserve">年度的自然资源业务资料纸质档案进行整理、扫描、制图、加密、归档和上架工作，并将数字化成果挂接到宜兴市自然资源和规划局档案管理系统，确保档案材料及时归档，不缺不漏，安全可靠。</w:t>
      </w:r>
      <w:r/>
    </w:p>
    <w:p>
      <w:pPr>
        <w:ind w:firstLine="241"/>
        <w:spacing w:line="440" w:lineRule="exact"/>
        <w:widowControl/>
        <w:rPr>
          <w:rFonts w:hint="eastAsia" w:ascii="宋体" w:hAnsi="宋体"/>
          <w:b/>
          <w:color w:val="auto"/>
          <w:sz w:val="24"/>
          <w:szCs w:val="24"/>
        </w:rPr>
      </w:pPr>
      <w:r>
        <w:rPr>
          <w:rFonts w:hint="eastAsia" w:ascii="宋体" w:hAnsi="宋体"/>
          <w:b/>
          <w:color w:val="auto"/>
          <w:sz w:val="24"/>
          <w:szCs w:val="24"/>
        </w:rPr>
        <w:t xml:space="preserve">二、工作内容</w:t>
      </w:r>
      <w:r/>
    </w:p>
    <w:p>
      <w:pPr>
        <w:ind w:firstLine="480"/>
        <w:spacing w:line="440" w:lineRule="exact"/>
        <w:widowControl/>
        <w:rPr>
          <w:rFonts w:hint="eastAsia" w:ascii="宋体" w:hAnsi="宋体"/>
          <w:bCs/>
          <w:color w:val="auto"/>
          <w:sz w:val="24"/>
          <w:szCs w:val="24"/>
        </w:rPr>
      </w:pPr>
      <w:r>
        <w:rPr>
          <w:rFonts w:hint="eastAsia" w:ascii="宋体" w:hAnsi="宋体"/>
          <w:bCs/>
          <w:color w:val="auto"/>
          <w:sz w:val="24"/>
          <w:szCs w:val="24"/>
        </w:rPr>
        <w:t xml:space="preserve">需完成采购人</w:t>
      </w:r>
      <w:r>
        <w:rPr>
          <w:rFonts w:hint="eastAsia" w:ascii="宋体" w:hAnsi="宋体"/>
          <w:bCs/>
          <w:color w:val="auto"/>
          <w:sz w:val="24"/>
          <w:szCs w:val="24"/>
          <w:lang w:val="en-US" w:eastAsia="zh-CN"/>
        </w:rPr>
        <w:t xml:space="preserve">2025-2026年</w:t>
      </w:r>
      <w:r>
        <w:rPr>
          <w:rFonts w:hint="eastAsia" w:ascii="宋体" w:hAnsi="宋体"/>
          <w:bCs/>
          <w:color w:val="auto"/>
          <w:sz w:val="24"/>
          <w:szCs w:val="24"/>
        </w:rPr>
        <w:t xml:space="preserve">度产生的自然资源业务资料</w:t>
      </w:r>
      <w:r>
        <w:rPr>
          <w:rFonts w:hint="eastAsia" w:ascii="宋体" w:hAnsi="宋体"/>
          <w:bCs/>
          <w:color w:val="auto"/>
          <w:sz w:val="24"/>
          <w:szCs w:val="24"/>
          <w:lang w:val="en-US" w:eastAsia="zh-CN"/>
        </w:rPr>
        <w:t xml:space="preserve">纸质</w:t>
      </w:r>
      <w:r>
        <w:rPr>
          <w:rFonts w:hint="eastAsia" w:ascii="宋体" w:hAnsi="宋体"/>
          <w:bCs/>
          <w:color w:val="auto"/>
          <w:sz w:val="24"/>
          <w:szCs w:val="24"/>
        </w:rPr>
        <w:t xml:space="preserve">档案总</w:t>
      </w:r>
      <w:r>
        <w:rPr>
          <w:rFonts w:hint="eastAsia" w:ascii="宋体" w:hAnsi="宋体"/>
          <w:bCs/>
          <w:color w:val="auto"/>
          <w:sz w:val="24"/>
          <w:szCs w:val="24"/>
          <w:lang w:val="en-US" w:eastAsia="zh-CN"/>
        </w:rPr>
        <w:t xml:space="preserve">量约11.5</w:t>
      </w:r>
      <w:r>
        <w:rPr>
          <w:rFonts w:hint="eastAsia" w:ascii="宋体" w:hAnsi="宋体"/>
          <w:bCs/>
          <w:color w:val="auto"/>
          <w:sz w:val="24"/>
          <w:szCs w:val="24"/>
        </w:rPr>
        <w:t xml:space="preserve">万卷、</w:t>
      </w:r>
      <w:r>
        <w:rPr>
          <w:rFonts w:hint="eastAsia" w:ascii="宋体" w:hAnsi="宋体"/>
          <w:bCs/>
          <w:color w:val="auto"/>
          <w:sz w:val="24"/>
          <w:szCs w:val="24"/>
          <w:lang w:val="en-US" w:eastAsia="zh-CN"/>
        </w:rPr>
        <w:t xml:space="preserve">261.9</w:t>
      </w:r>
      <w:r>
        <w:rPr>
          <w:rFonts w:hint="eastAsia" w:ascii="宋体" w:hAnsi="宋体"/>
          <w:bCs/>
          <w:color w:val="auto"/>
          <w:sz w:val="24"/>
          <w:szCs w:val="24"/>
        </w:rPr>
        <w:t xml:space="preserve">万页（（以实际工作量为准），供应商需对业务资料数字化每页单价、业务资料整理每卷单价分别报价，且不得超过每项最高限价及项目总预算。业务资料整理每卷最高限价为2.</w:t>
      </w:r>
      <w:r>
        <w:rPr>
          <w:rFonts w:hint="eastAsia" w:ascii="宋体" w:hAnsi="宋体"/>
          <w:bCs/>
          <w:color w:val="auto"/>
          <w:sz w:val="24"/>
          <w:szCs w:val="24"/>
          <w:lang w:val="en-US" w:eastAsia="zh-CN"/>
        </w:rPr>
        <w:t xml:space="preserve">5</w:t>
      </w:r>
      <w:r>
        <w:rPr>
          <w:rFonts w:hint="eastAsia" w:ascii="宋体" w:hAnsi="宋体"/>
          <w:bCs/>
          <w:color w:val="auto"/>
          <w:sz w:val="24"/>
          <w:szCs w:val="24"/>
        </w:rPr>
        <w:t xml:space="preserve">元，业务资料数字化每页最高限价为0.</w:t>
      </w:r>
      <w:r>
        <w:rPr>
          <w:rFonts w:hint="eastAsia" w:ascii="宋体" w:hAnsi="宋体"/>
          <w:bCs/>
          <w:color w:val="auto"/>
          <w:sz w:val="24"/>
          <w:szCs w:val="24"/>
          <w:lang w:val="en-US" w:eastAsia="zh-CN"/>
        </w:rPr>
        <w:t xml:space="preserve">28</w:t>
      </w:r>
      <w:r>
        <w:rPr>
          <w:rFonts w:hint="eastAsia" w:ascii="宋体" w:hAnsi="宋体"/>
          <w:bCs/>
          <w:color w:val="auto"/>
          <w:sz w:val="24"/>
          <w:szCs w:val="24"/>
        </w:rPr>
        <w:t xml:space="preserve">元。</w:t>
      </w:r>
      <w:r/>
    </w:p>
    <w:p>
      <w:pPr>
        <w:ind w:firstLine="241"/>
        <w:spacing w:line="440" w:lineRule="exact"/>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三、工作标准</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除国家法律法规、行业标准的规定及本要求特别说明之外，以下规范性引用文件作为要求的基本技术条款。</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1.《中华人民共和国档案法》</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2.《机关档案管理规定》（国家档案局第13号令）</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3.《纸质档案数字化规范》DA/T 31-2017</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4.《档案著录规则》</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5.《电子文件归档与管理规范》GB/T 18894-2002</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6.《照片档案管理规范》GB/T 11821-2002</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7.《档案数字化外包工作规范第1部分：总则》DA/T68.1-2020</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8.《档案服务外包工作规范第2部分：档案数字化服务》DA/T68.2-2020</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9.《不动产登记档案管理办法（试行）》</w:t>
      </w:r>
      <w:r/>
    </w:p>
    <w:p>
      <w:pPr>
        <w:ind w:firstLine="241"/>
        <w:spacing w:line="440" w:lineRule="exact"/>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四、技术要求</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1、整理要求</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整理的主要目标是使档案内容准确，排列正确，纸张大小统一，页面美观，无褶皱，具体有以下要求：</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（1）保证档案资料的完整性，不得随意增加或者减少资料，不得损坏档案资料。</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（2）结合档案管理系统的结构化数据，核实档案与系统数据是否一致。</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（3）如发现混档，需将不属于当前卷的材料退还采购人处理。</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（4）拆除装订物时应注意保护档案不受损害。</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（5）原已规范装订的书本式文件，如房产/不动产登记证、有火漆印的材料等，不进行拆分(房产/不动产登记证应该去除封面和封底)。</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（6）空白和重复的文件要剔除，有正式件的文件剔除复印件，剔除的材料退还采购人处理。</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（7）页面裱补：如果档案资料纸张过薄，或者纸型较小，则对纸张进行裱补，使其成为统一的A4大小。</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（8）页面修整：破损严重、无法直接进行扫描的档案，应先进行技术修复。</w:t>
      </w:r>
      <w:r>
        <w:rPr>
          <w:rFonts w:hint="eastAsia" w:ascii="宋体" w:hAnsi="宋体"/>
          <w:bCs/>
          <w:color w:val="000000" w:themeColor="text1"/>
          <w:sz w:val="24"/>
          <w:szCs w:val="24"/>
          <w14:textFill>
            <w14:solidFill>
              <w14:schemeClr w14:val="tx1"/>
            </w14:solidFill>
          </w14:textFill>
        </w:rPr>
        <w:tab/>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（9）排序及编码：将档案的文件按照一定顺序排列好，使用打码机按照固定顺序印制连续的页码。</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（10）卷盒上全宗号、目录号、案卷号、年度、件数等均需填写完整。</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（11）生成的案卷目录需打印出来，装订成册，作为台账备查。</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2、案卷信息录入</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（1）分类号：归档部门的分类代码，档案部门指定。</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（2）案卷档号：案卷的档号，全宗号+类别号+目录号+案卷号。</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（3）归档年度：案卷的归档年度，4位数字。</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（4）案卷类别:指案卷的分类，如综合类、地籍管理类、建设用地类等。</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（5）案卷题名：案卷的标题，不得超过200个汉字。</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（6）不动产坐落：不动产登记的坐落，或地块坐落。</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（7）不动产证号：不动产登记的产权证号。</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（8）权利人名称：不动产登记的权利人名称，包括所有权人、使用权人、抵押权人等。</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（9）义务人名称：主要指抵押权义务人、地役权义务人。</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（10）保管期限：案卷保管期限，一般分为永久、30年、10年。</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（11）页数：卷内文件的总页数，正整数，最多3位数。</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（12）归档部门：归档部门的名称，一般填到科室。</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3、文件信息录入</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（1）档号：案卷档号+页号。</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（2）页号:指该文件在案卷的第几页。</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（3）文号:指该文件所具有的发文字号，“[]”要求用半角方括号。</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（4）责任者:一般是指发文单位的名称。</w:t>
      </w:r>
      <w:r>
        <w:rPr>
          <w:rFonts w:hint="eastAsia" w:ascii="宋体" w:hAnsi="宋体"/>
          <w:bCs/>
          <w:color w:val="000000" w:themeColor="text1"/>
          <w:sz w:val="24"/>
          <w:szCs w:val="24"/>
          <w14:textFill>
            <w14:solidFill>
              <w14:schemeClr w14:val="tx1"/>
            </w14:solidFill>
          </w14:textFill>
        </w:rPr>
        <w:tab/>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（5）题名：指对应材料的标题或内容。</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（6）文件日期:指材料的形成日期,一般以落款的日期为准。</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4、数字化扫描的标准</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按照《中华人民共和国行业标准（DA/T31-2017）》纸质档案数字规范，采用专业文件扫描仪、AO大幅面扫描仪、照片扫描仪相互配合进行扫描加工，要求在扫描过程中不对档案原件造成破坏，确保档案扫描图像与原件一致、整洁、清晰；对纸张较古老、超薄的和不可拆卷的档案需要采用专业不拆卷非接触冷光源扫描仪进行扫描，不得涂改和损坏原始档案。扫描影像存储格式：彩色扫描，源文件采用JPEG格式或PDF格式；扫描文件先以档号进行命名，按照统一标准的文件命名规范进行排列。</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图片的扫描精度要求≥300DPI达到扫描后的图像清晰、不失真、完整、不影响图像的利用效果；为了保护档案，要求全部用平板，并全部拆卷扫描。特殊情况下，如文字偏小、密集、清晰度较差等，需适当提高分辨率，以扫描的电子文档打印结果清晰为准。</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纸制档案的整理要求：扫描前，对档案进行拆卷并整理，对不平整的档案进行平整处理，对错误的问题进行修正（如错码、漏码等）。扫描的页面内容居中显示，不可出现明显偏左或偏右的现象，正文内容、页眉、页脚、反面印章、附件、手写注释等信息完整，图像内容与书本面完全对应，不得出现书页内容残缺或将旁边页面信息扫如本页的现象。扫描结束，须把档案恢复装订后按序上架，档案的页码不得出现错页、漏页、页次颠倒等现象，装订要符合国家相关装订标准。</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（4）电子图片的倾斜度达到视觉上基本不感觉偏斜为准，不允许有折叠或缺损，保证图像的完整，图片端正、无扭曲。</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（5）纸张状况较差，过薄、过软或超厚的档案，应采用铺垫白纸托附，不得损坏纸质档案。</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（6）对扫描的图片进行加工裁减、去边、去污等技术处理，不留文字版面外的暗影、无干扰信息，应遵循在不影响可懂度的前提下展现档案原貌的原则。</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（7）要求电子影像数据准确、索引数据准确并与纸质档案匹配；档案号命名符合规范； 图片命名及组成符合档案管理软件要求。</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成交供应商必须保证档案内容与档案载体的安全，档案不得丢失、泄密、损坏，数据验收合格后，采购人将备份硬盘提供给成交供应商，成交供应商需在采购人服务器、备份硬盘上提交三套数据给采购人，著录条目和全文数据向采购人数据库迁移。</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（9）电子档案和纸制档案的制作整理要求及验收标准应符合国家纸质档案数字化技术规范。</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（10）档案数字化成果符合“创建省级五A级档案室”标准。</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5、数据验收</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5.1数据抽检</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以抽检的方式检查已完成数字化转换的所有数据，包括目录数据库、图像文件及数据挂接的总体质量。</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5.2验收指标</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目录数据库与图像文件挂接错误，卷内目录不完全对应，或目录数据库、图像文件之一出现不完整、不清晰、有错误等质量问题时，抽检标记为“不合格”。</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（1）档案装订：检查所有档案的装订还原情况，差错率≦2‰。</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（2）扫描图像：漏扫率控制为零。</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（3）图像质量：图像质量情况完好率99%。</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（4）格式封装：图像文件的命名差错率≦1‰。</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（5）著录：以案卷(文件)为单位，关键字段差错率≦1‰，其余字段录入错误率≦5%。</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（6）条目与图像挂接：挂接正确率100%。</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（7）档案原始材料：100%不缺失。</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5.3数据验收审核</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（1）成交供应商每完成一定工作量(1个目录)需对数据质量进行自检，发现问题及时自我整改，整改到位后提交自检报告及整改报告给采购人。</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（2）采购人定期进行抽检，发现质量问题反馈给成交供应商进行整改。</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采购人对供应商按目录号进行验收。数据验收以抽检方式进行，抽检率按目录号不低于5%。抽检形成的抽检报告双方签字确认。供应商提交验收的数据不论涉及验收标准哪一条，不合格的，全部发回全面自检。抽检合格的，由采购人档按目录号出具初验合格报告。</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（4）采购人在验收中检出的错误，供应商应及时、无偿予以纠正并再提交于采购人验收。</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（5）在系统平稳运行一个月后，根据本系统中的抽检率，进一步进行广泛抽检，确保抽检率大于10%后，可以对全部档案初步验收"通过"的结论。 </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（6）如采购人在本次档案省五A级档案室达标中由于数字化问题不能通过验收，视为供应商违约。</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5.4项目验收</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采购人以采购文件、成交供应商的响应文件、合同为依据，成立验收小组，负责对项目进行全面的验收，成交供应商须向采购人提供详细的系统验收方案。成交供应商须对所有录入、挂接数据提供质量核对、校验记录，确保录入、挂接数据100%正确。</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采购人日常按照国家规定对项目质量进行抽查，项目完成前一个月对项目总体进行验收，没有国家标准地按行业标准验收，无行业标准的按地方或企业标准验收，成交供应商予以配合。涉及安全、消防、环保等其他需要由质检或行业主管部门验收的项目，采购人约请相关部门和专家参加项目验收。</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6、数据挂接及备份</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（1）整理完毕的数据由成交供应商按照时限要求及时挂接至自然资源档案系统，确保能够查询、利用。</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（2）挂接完毕的档案数据由成交供应商负责每天增量备份，每月完整备份，并以硬盘备份的方式把完整的备份数据移交给采购人。</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（3）备份方式：为保证数据安全，备份载体的选择应多样化，应采用在线、离线相结合的方式实现多套备份。</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（4）数据检验：备份数据也应进行检验。备份数据的检验的内容主要包括备份数据能否打开、数据信息是否完整、文件数量是否准确等。</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（5）备份标签：数据备份后应在相应的备份介质上做好标签，以便查找和管理。</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7、数字化成果及数据安全</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成交供应商应加强对数字化成果的管理，包括但不限于采取档案数据保真、保全类等相关软件技术服务，符合国家档案局关于数字资源长期保存需求规范，有效防止档案数据损坏、篡改等系列安全问题，确保数字化成果安全、完整和长期可用。</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8、保密要求</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（1）成交供应商须在合同中进行责任约定(保密安全协议另签)，成交供应商在工作期间必须遵守相关保密制度。</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（2）档案数字化加工后的各种影像、资料所有权属采购人，各种统计资料、影像资料、光盘资料、纸质资料及各种清单等在项目结束时都必须完整移交。</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（3）成交供应商工作人员不得以任何形式将各项档案资料带出指定工作现场；不得以任何形式进行泄漏、传播；不得无故查看及讨论档案内容。</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（4）成交供应商工作人员未经同意，不得私自携带任何可存储设备进入或离开工作现场。</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（5）供应商应自备符合国家档案局安全防范系统要求的视频监视系统，并对本项目实施的全过程进行监控，以确保本项目的顺利实现。</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（6）供应商需无条件提供相应的措施，以确保采购人的档案安全。</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（7）作业现场安装摄像设备并保存视频记录。</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（8）用于档案数字化扫描的计算机禁止连接互联网，需要与互联网物理隔离。</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（9）封闭计算机与外部存储设备输出接口。</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（10）采取防病毒措施。</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（11）成交供应商需强化内部管理和员工教育，与员工签订保密协议。</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9、时限要求</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采购人分批向成交供应商移交各类业务资料，成交供应商须在接收到资料后30日内做好整理、扫描、入库、归档工作，确保通过宜兴市自然资源档案管理系统可以查阅、管理。</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10、其他要求</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档案整理归档过程中需要用到的计算机、扫描仪、打印机等信息化设备及其耗材所需费用均已包含在报价中，由成交供应商负责，采购人不再支付任何费用。产品的质量保证符合国家标准，成交供应商负责免费维修或更换，所需费用均已包含在报价中，采购人不再支付任何费用。</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（2）成交供应商应当配合业务系统供应商做好档案数字化相关工作的调整、调试。</w:t>
      </w:r>
      <w:r/>
    </w:p>
    <w:p>
      <w:pPr>
        <w:ind w:firstLine="480"/>
        <w:spacing w:line="440" w:lineRule="exact"/>
        <w:widowControl/>
        <w:rPr>
          <w:rFonts w:hint="eastAsia" w:ascii="宋体" w:hAnsi="宋体" w:eastAsia="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3</w:t>
      </w:r>
      <w:r>
        <w:rPr>
          <w:rFonts w:hint="eastAsia" w:ascii="宋体" w:hAnsi="宋体"/>
          <w:bCs/>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进场时成交供应商需提供项目负责人近一年在成交供应商工作的社保缴存记录</w:t>
      </w:r>
      <w:r>
        <w:rPr>
          <w:rFonts w:hint="eastAsia" w:ascii="宋体" w:hAnsi="宋体"/>
          <w:bCs/>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加盖公章</w:t>
      </w:r>
      <w:r>
        <w:rPr>
          <w:rFonts w:hint="eastAsia" w:ascii="宋体" w:hAnsi="宋体"/>
          <w:bCs/>
          <w:color w:val="000000" w:themeColor="text1"/>
          <w:sz w:val="24"/>
          <w:szCs w:val="24"/>
          <w:lang w:eastAsia="zh-CN"/>
          <w14:textFill>
            <w14:solidFill>
              <w14:schemeClr w14:val="tx1"/>
            </w14:solidFill>
          </w14:textFill>
        </w:rPr>
        <w:t xml:space="preserve">）。</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）成交供应商派驻的实施人员要求有很高的纪律性和自觉性，必须接受采购人管理，严格遵守采购人各项规章制度，对于违反采购人管理制度情节严重的，采购人可要求撤换相关人员。</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5</w:t>
      </w:r>
      <w:r>
        <w:rPr>
          <w:rFonts w:hint="eastAsia" w:ascii="宋体" w:hAnsi="宋体"/>
          <w:bCs/>
          <w:color w:val="000000" w:themeColor="text1"/>
          <w:sz w:val="24"/>
          <w:szCs w:val="24"/>
          <w14:textFill>
            <w14:solidFill>
              <w14:schemeClr w14:val="tx1"/>
            </w14:solidFill>
          </w14:textFill>
        </w:rPr>
        <w:t xml:space="preserve">）成交供应商中途不得随意更换工作人员(特殊情况除外)。成交供应商对其实施的项目必须确保日常不少于</w:t>
      </w: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名常驻实施人员，且人员必须相对固定，现场负责人确定后不可更换，其他实施人员连续驻守时间不少于6个月。驻场人员更替时由成交供应商做好移交工作，建立相关移交台帐。</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6</w:t>
      </w:r>
      <w:r>
        <w:rPr>
          <w:rFonts w:hint="eastAsia" w:ascii="宋体" w:hAnsi="宋体"/>
          <w:bCs/>
          <w:color w:val="000000" w:themeColor="text1"/>
          <w:sz w:val="24"/>
          <w:szCs w:val="24"/>
          <w14:textFill>
            <w14:solidFill>
              <w14:schemeClr w14:val="tx1"/>
            </w14:solidFill>
          </w14:textFill>
        </w:rPr>
        <w:t xml:space="preserve">）成交供应商工作时间与采购人一致，周六可不休息。</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7</w:t>
      </w:r>
      <w:r>
        <w:rPr>
          <w:rFonts w:hint="eastAsia" w:ascii="宋体" w:hAnsi="宋体"/>
          <w:bCs/>
          <w:color w:val="000000" w:themeColor="text1"/>
          <w:sz w:val="24"/>
          <w:szCs w:val="24"/>
          <w14:textFill>
            <w14:solidFill>
              <w14:schemeClr w14:val="tx1"/>
            </w14:solidFill>
          </w14:textFill>
        </w:rPr>
        <w:t xml:space="preserve">）若成交供应商在服务期内产品、服务不能满足招标需求，采购人有权按法律程序进行处理。</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成交供应商有一个月试用期，从成交供应商签署合同日起算。试用期内，各项实际加工费用按采购文件的方法计算，并按月支付加工费用。试用结束时，如果加工质量和进度都不能满足采购人的要求，采购人上报财政监管部门处理并不再支付剩余合同款项。</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9</w:t>
      </w:r>
      <w:r>
        <w:rPr>
          <w:rFonts w:hint="eastAsia" w:ascii="宋体" w:hAnsi="宋体"/>
          <w:bCs/>
          <w:color w:val="000000" w:themeColor="text1"/>
          <w:sz w:val="24"/>
          <w:szCs w:val="24"/>
          <w14:textFill>
            <w14:solidFill>
              <w14:schemeClr w14:val="tx1"/>
            </w14:solidFill>
          </w14:textFill>
        </w:rPr>
        <w:t xml:space="preserve">）成交供应商须对其实施的项目提供24小时不间断技术支持服务，提供电话、传真、电子邮件、现场多种方式技术支持服务，全方位响应需求。能1小时内到达现场，并最迟在第2个工作日内排除错误，2个工作日内不能解决的，必须采取临时应急等措施，以保证采购人的正常使用。</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(10)成交供应商须提供从项目整体验收合格之日起，提供一年的免费质保期服务。</w:t>
      </w:r>
      <w:r/>
    </w:p>
    <w:p>
      <w:pPr>
        <w:ind w:firstLine="480"/>
        <w:spacing w:line="440" w:lineRule="exact"/>
        <w:widowControl/>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(11)供应商须承诺该项目通过江苏省级五星级档案室验收，如该项目在省五星级档案室验收中扣分，导致省五星级档案室验收不合格，由供应商负责整改到位，整改过程中产生的所有费用由供应商负责。</w:t>
      </w:r>
      <w:r/>
    </w:p>
    <w:p>
      <w:pPr>
        <w:ind w:firstLine="241"/>
        <w:spacing w:line="440" w:lineRule="exact"/>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五、商务要求</w:t>
      </w:r>
      <w:r/>
    </w:p>
    <w:p>
      <w:pPr>
        <w:ind w:firstLine="482"/>
        <w:spacing w:line="460" w:lineRule="exact"/>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w:t>
      </w:r>
      <w:r>
        <w:rPr>
          <w:rFonts w:hint="eastAsia" w:ascii="宋体" w:hAnsi="宋体"/>
          <w:b/>
          <w:color w:val="000000" w:themeColor="text1"/>
          <w:sz w:val="24"/>
          <w:szCs w:val="24"/>
          <w:lang w:eastAsia="zh-CN"/>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服务期限</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自合同签订之日起一年</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2"/>
        <w:spacing w:line="460" w:lineRule="exact"/>
        <w:rPr>
          <w:rFonts w:hint="eastAsia" w:ascii="宋体" w:hAnsi="宋体"/>
          <w:bCs/>
          <w:color w:val="000000" w:themeColor="text1"/>
          <w:sz w:val="24"/>
          <w:szCs w:val="24"/>
          <w:lang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w:t>
      </w:r>
      <w:r>
        <w:rPr>
          <w:rFonts w:hint="eastAsia" w:ascii="宋体" w:hAnsi="宋体"/>
          <w:b/>
          <w:color w:val="000000" w:themeColor="text1"/>
          <w:sz w:val="24"/>
          <w:szCs w:val="24"/>
          <w:lang w:eastAsia="zh-CN"/>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服务地点</w:t>
      </w:r>
      <w:r>
        <w:rPr>
          <w:rFonts w:hint="eastAsia" w:ascii="宋体" w:hAnsi="宋体"/>
          <w:bCs/>
          <w:color w:val="000000" w:themeColor="text1"/>
          <w:sz w:val="24"/>
          <w:szCs w:val="24"/>
          <w14:textFill>
            <w14:solidFill>
              <w14:schemeClr w14:val="tx1"/>
            </w14:solidFill>
          </w14:textFill>
        </w:rPr>
        <w:t xml:space="preserve">：采购人指定地点</w:t>
      </w:r>
      <w:r>
        <w:rPr>
          <w:rFonts w:hint="eastAsia" w:ascii="宋体" w:hAnsi="宋体"/>
          <w:bCs/>
          <w:color w:val="000000" w:themeColor="text1"/>
          <w:sz w:val="24"/>
          <w:szCs w:val="24"/>
          <w:lang w:eastAsia="zh-CN"/>
          <w14:textFill>
            <w14:solidFill>
              <w14:schemeClr w14:val="tx1"/>
            </w14:solidFill>
          </w14:textFill>
        </w:rPr>
        <w:t xml:space="preserve">。</w:t>
      </w:r>
      <w:r/>
    </w:p>
    <w:p>
      <w:pPr>
        <w:ind w:firstLine="482"/>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w:t>
      </w:r>
      <w:r>
        <w:rPr>
          <w:rFonts w:hint="eastAsia" w:ascii="宋体" w:hAnsi="宋体"/>
          <w:b/>
          <w:color w:val="000000" w:themeColor="text1"/>
          <w:sz w:val="24"/>
          <w:szCs w:val="24"/>
          <w:lang w:eastAsia="zh-CN"/>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验收标准</w:t>
      </w:r>
      <w:r>
        <w:rPr>
          <w:rFonts w:hint="eastAsia" w:ascii="宋体" w:hAnsi="宋体"/>
          <w:b/>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1）采购人以采购文件、成交供应商的响应文件、合同为依据，成立验收小组，负责对项目进行全面的验收，成交供应商须向采购人提供详细的系统验收方案。成交供应商须对所有录入、挂接数据提供质量核对、校验记录，确保录入、挂接数据100%正确。（2）采购人日常按照国家规定对项目质量进行抽查，项目完成前一个月对项目总体进行验收，没有国家标准地按行业标准验收，无行业标准的按地方或企业标准验收，成交供应商予以配合。涉及安全、消防、环保等其他需要由质检或行业主管部门验收的项目，采购人约请相关部门和专家参加项目验收。</w:t>
      </w:r>
      <w:r/>
    </w:p>
    <w:p>
      <w:pPr>
        <w:ind w:firstLine="48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4</w:t>
      </w:r>
      <w:r>
        <w:rPr>
          <w:rFonts w:hint="eastAsia" w:ascii="宋体" w:hAnsi="宋体"/>
          <w:b/>
          <w:color w:val="000000" w:themeColor="text1"/>
          <w:sz w:val="24"/>
          <w:szCs w:val="24"/>
          <w:lang w:eastAsia="zh-CN"/>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付款步骤</w:t>
      </w:r>
      <w:r>
        <w:rPr>
          <w:rFonts w:hint="eastAsia" w:ascii="宋体" w:hAnsi="宋体"/>
          <w:b/>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（1）第一期（进度款）：本合同签订后，</w:t>
      </w:r>
      <w:r>
        <w:rPr>
          <w:rFonts w:hint="eastAsia" w:ascii="宋体" w:hAnsi="宋体"/>
          <w:bCs/>
          <w:color w:val="000000" w:themeColor="text1"/>
          <w:sz w:val="24"/>
          <w:szCs w:val="24"/>
          <w14:textFill>
            <w14:solidFill>
              <w14:schemeClr w14:val="tx1"/>
            </w14:solidFill>
          </w14:textFill>
        </w:rPr>
        <w:t xml:space="preserve">乙方完成本合同约定的40%工作量,甲方向乙方支付合同总价款的40%。（2）第二期（进度款）：乙方完成本合同约定的70%工作量，甲方向乙方支付合同总价款的30%。（3）第三期（结算款）：乙方完成本合同约定的全部工作，并提交所有完整成果资料后，且经甲方验收合格之日起一个月内支付合同总价款的30%。</w:t>
      </w:r>
      <w:r/>
    </w:p>
    <w:p>
      <w:pPr>
        <w:ind w:firstLine="48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5、相关说明：</w:t>
      </w:r>
      <w:r>
        <w:rPr>
          <w:rFonts w:hint="eastAsia" w:ascii="宋体" w:hAnsi="宋体"/>
          <w:bCs/>
          <w:color w:val="000000" w:themeColor="text1"/>
          <w:sz w:val="24"/>
          <w:szCs w:val="24"/>
          <w14:textFill>
            <w14:solidFill>
              <w14:schemeClr w14:val="tx1"/>
            </w14:solidFill>
          </w14:textFill>
        </w:rPr>
        <w:t xml:space="preserve">在项目实施过程中，若成交供应商违反项目技术要求相关条款的，每发现一次扣除总价的千分之一。若成交供应商违反项目技术要求相关条款5次以上，经采购人书面提出且屡教不改的，采购人可上报采购监管部门，单方解除合同。</w:t>
      </w:r>
      <w:r/>
    </w:p>
    <w:p>
      <w:pPr>
        <w:ind w:firstLine="241"/>
        <w:spacing w:line="36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六、实质性要求</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本章有关服务与商务条款的要求为基准要求，如供应商不能完全符合此基准要求，可高于此基准要求进行报价，采购人将不接受低于该基准要求（负偏离）的报价，供应商需对此基准要求作实质性响应。</w:t>
      </w:r>
      <w:r/>
    </w:p>
    <w:p>
      <w:pPr>
        <w:pStyle w:val="927"/>
        <w:rPr>
          <w:color w:val="auto"/>
          <w:highlight w:val="none"/>
        </w:rPr>
      </w:pPr>
      <w:r>
        <w:rPr>
          <w:color w:val="auto"/>
          <w:highlight w:val="none"/>
        </w:rPr>
        <w:br w:type="page" w:clear="all"/>
      </w:r>
      <w:r/>
    </w:p>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t xml:space="preserve">第四章 评审方法和标准</w:t>
      </w:r>
      <w:bookmarkEnd w:id="83"/>
      <w:r/>
      <w:bookmarkEnd w:id="84"/>
      <w:r/>
      <w:bookmarkEnd w:id="86"/>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690"/>
        <w:tblW w:w="0" w:type="auto"/>
        <w:tblInd w:w="3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7470"/>
      </w:tblGrid>
      <w:tr>
        <w:trPr>
          <w:trHeight w:val="680"/>
        </w:trPr>
        <w:tc>
          <w:tcPr>
            <w:tcW w:w="2167" w:type="dxa"/>
            <w:vAlign w:val="center"/>
            <w:textDirection w:val="lrTb"/>
            <w:noWrap w:val="false"/>
          </w:tcPr>
          <w:p>
            <w:pPr>
              <w:jc w:val="center"/>
              <w:rPr>
                <w:rFonts w:ascii="宋体"/>
                <w:color w:val="auto"/>
                <w:sz w:val="24"/>
                <w:szCs w:val="24"/>
                <w:highlight w:val="none"/>
              </w:rPr>
            </w:pPr>
            <w:r>
              <w:rPr>
                <w:rFonts w:hint="eastAsia" w:ascii="宋体"/>
                <w:color w:val="auto"/>
                <w:sz w:val="24"/>
                <w:szCs w:val="24"/>
                <w:highlight w:val="none"/>
              </w:rPr>
              <w:t xml:space="preserve">技术商务部分</w:t>
            </w:r>
            <w:r/>
          </w:p>
        </w:tc>
        <w:tc>
          <w:tcPr>
            <w:tcW w:w="7470" w:type="dxa"/>
            <w:vAlign w:val="center"/>
            <w:textDirection w:val="lrTb"/>
            <w:noWrap w:val="false"/>
          </w:tcPr>
          <w:p>
            <w:pPr>
              <w:jc w:val="center"/>
              <w:rPr>
                <w:rFonts w:ascii="宋体"/>
                <w:color w:val="auto"/>
                <w:sz w:val="24"/>
                <w:szCs w:val="24"/>
                <w:highlight w:val="none"/>
              </w:rPr>
            </w:pPr>
            <w:r>
              <w:rPr>
                <w:rFonts w:hint="eastAsia" w:ascii="宋体"/>
                <w:color w:val="auto"/>
                <w:sz w:val="24"/>
                <w:szCs w:val="24"/>
                <w:highlight w:val="none"/>
              </w:rPr>
              <w:t xml:space="preserve">80分</w:t>
            </w:r>
            <w:r/>
          </w:p>
        </w:tc>
      </w:tr>
      <w:tr>
        <w:trPr>
          <w:trHeight w:val="680"/>
        </w:trPr>
        <w:tc>
          <w:tcPr>
            <w:tcW w:w="2167" w:type="dxa"/>
            <w:vAlign w:val="center"/>
            <w:textDirection w:val="lrTb"/>
            <w:noWrap w:val="false"/>
          </w:tcPr>
          <w:p>
            <w:pPr>
              <w:jc w:val="center"/>
              <w:rPr>
                <w:rFonts w:ascii="宋体"/>
                <w:color w:val="auto"/>
                <w:sz w:val="24"/>
                <w:szCs w:val="24"/>
                <w:highlight w:val="none"/>
              </w:rPr>
            </w:pPr>
            <w:r>
              <w:rPr>
                <w:rFonts w:hint="eastAsia" w:ascii="宋体"/>
                <w:color w:val="auto"/>
                <w:sz w:val="24"/>
                <w:szCs w:val="24"/>
                <w:highlight w:val="none"/>
              </w:rPr>
              <w:t xml:space="preserve">价格部分</w:t>
            </w:r>
            <w:r/>
          </w:p>
        </w:tc>
        <w:tc>
          <w:tcPr>
            <w:tcW w:w="7470" w:type="dxa"/>
            <w:vAlign w:val="center"/>
            <w:textDirection w:val="lrTb"/>
            <w:noWrap w:val="false"/>
          </w:tcPr>
          <w:p>
            <w:pPr>
              <w:jc w:val="center"/>
              <w:rPr>
                <w:rFonts w:ascii="宋体"/>
                <w:color w:val="auto"/>
                <w:sz w:val="24"/>
                <w:szCs w:val="24"/>
                <w:highlight w:val="none"/>
              </w:rPr>
            </w:pPr>
            <w:r>
              <w:rPr>
                <w:rFonts w:hint="eastAsia" w:ascii="宋体"/>
                <w:color w:val="auto"/>
                <w:sz w:val="24"/>
                <w:szCs w:val="24"/>
                <w:highlight w:val="none"/>
              </w:rPr>
              <w:t xml:space="preserve">20分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1、技术商务部分</w:t>
      </w:r>
      <w:r/>
    </w:p>
    <w:tbl>
      <w:tblPr>
        <w:tblStyle w:val="690"/>
        <w:tblW w:w="10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825"/>
        <w:gridCol w:w="1365"/>
        <w:gridCol w:w="780"/>
        <w:gridCol w:w="6555"/>
      </w:tblGrid>
      <w:tr>
        <w:trPr>
          <w:jc w:val="center"/>
          <w:trHeight w:val="23"/>
        </w:trPr>
        <w:tc>
          <w:tcPr>
            <w:tcW w:w="957"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评审</w:t>
            </w:r>
            <w:r/>
          </w:p>
          <w:p>
            <w:pPr>
              <w:jc w:val="center"/>
              <w:rPr>
                <w:rFonts w:ascii="宋体" w:hAnsi="宋体" w:cs="宋体"/>
                <w:sz w:val="24"/>
                <w:szCs w:val="24"/>
              </w:rPr>
            </w:pPr>
            <w:r>
              <w:rPr>
                <w:rFonts w:hint="eastAsia" w:ascii="宋体" w:hAnsi="宋体" w:cs="宋体"/>
                <w:sz w:val="24"/>
                <w:szCs w:val="24"/>
              </w:rPr>
              <w:t xml:space="preserve">内容</w:t>
            </w:r>
            <w:r/>
          </w:p>
        </w:tc>
        <w:tc>
          <w:tcPr>
            <w:tcW w:w="825"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序号</w:t>
            </w:r>
            <w:r/>
          </w:p>
        </w:tc>
        <w:tc>
          <w:tcPr>
            <w:tcW w:w="1365"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评审</w:t>
            </w:r>
            <w:r/>
          </w:p>
          <w:p>
            <w:pPr>
              <w:jc w:val="center"/>
              <w:rPr>
                <w:rFonts w:ascii="宋体" w:hAnsi="宋体" w:cs="宋体"/>
                <w:sz w:val="24"/>
                <w:szCs w:val="24"/>
              </w:rPr>
            </w:pPr>
            <w:r>
              <w:rPr>
                <w:rFonts w:hint="eastAsia" w:ascii="宋体" w:hAnsi="宋体" w:cs="宋体"/>
                <w:sz w:val="24"/>
                <w:szCs w:val="24"/>
              </w:rPr>
              <w:t xml:space="preserve">项目</w:t>
            </w:r>
            <w:r/>
          </w:p>
        </w:tc>
        <w:tc>
          <w:tcPr>
            <w:tcW w:w="780"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分值</w:t>
            </w:r>
            <w:r/>
          </w:p>
        </w:tc>
        <w:tc>
          <w:tcPr>
            <w:tcW w:w="6555"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评审细则</w:t>
            </w:r>
            <w:r/>
          </w:p>
        </w:tc>
      </w:tr>
      <w:tr>
        <w:trPr>
          <w:jc w:val="center"/>
          <w:trHeight w:val="1046"/>
        </w:trPr>
        <w:tc>
          <w:tcPr>
            <w:tcW w:w="957" w:type="dxa"/>
            <w:vAlign w:val="center"/>
            <w:vMerge w:val="restart"/>
            <w:textDirection w:val="lrTb"/>
            <w:noWrap/>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技术</w:t>
            </w:r>
            <w:r/>
          </w:p>
          <w:p>
            <w:pPr>
              <w:jc w:val="center"/>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部分</w:t>
            </w:r>
            <w:r>
              <w:rPr>
                <w:rFonts w:hint="eastAsia" w:ascii="宋体" w:hAnsi="宋体"/>
                <w:color w:val="000000" w:themeColor="text1"/>
                <w:sz w:val="24"/>
                <w:szCs w:val="24"/>
                <w14:textFill>
                  <w14:solidFill>
                    <w14:schemeClr w14:val="tx1"/>
                  </w14:solidFill>
                </w14:textFill>
              </w:rPr>
              <w:t xml:space="preserve">60分</w:t>
            </w:r>
            <w:r/>
          </w:p>
        </w:tc>
        <w:tc>
          <w:tcPr>
            <w:tcW w:w="825" w:type="dxa"/>
            <w:vAlign w:val="center"/>
            <w:textDirection w:val="lrTb"/>
            <w:noWrap/>
          </w:tcPr>
          <w:p>
            <w:pPr>
              <w:jc w:val="center"/>
              <w:rPr>
                <w:rFonts w:ascii="宋体" w:hAnsi="宋体" w:cs="宋体"/>
                <w:sz w:val="24"/>
                <w:szCs w:val="24"/>
              </w:rPr>
            </w:pPr>
            <w:r>
              <w:rPr>
                <w:rFonts w:hint="eastAsia" w:ascii="宋体" w:hAnsi="宋体"/>
                <w:sz w:val="24"/>
                <w:szCs w:val="24"/>
              </w:rPr>
              <w:t xml:space="preserve">1</w:t>
            </w:r>
            <w:r/>
          </w:p>
        </w:tc>
        <w:tc>
          <w:tcPr>
            <w:tcW w:w="1365" w:type="dxa"/>
            <w:vAlign w:val="center"/>
            <w:textDirection w:val="lrTb"/>
            <w:noWrap/>
          </w:tcPr>
          <w:p>
            <w:pPr>
              <w:jc w:val="center"/>
              <w:rPr>
                <w:rFonts w:ascii="宋体" w:hAnsi="宋体"/>
                <w:sz w:val="24"/>
                <w:szCs w:val="24"/>
                <w:lang w:val="zh-CN"/>
              </w:rPr>
            </w:pPr>
            <w:r>
              <w:rPr>
                <w:rFonts w:hint="eastAsia" w:ascii="宋体" w:hAnsi="宋体"/>
                <w:sz w:val="24"/>
                <w:szCs w:val="24"/>
              </w:rPr>
              <w:t xml:space="preserve">整理要求</w:t>
            </w:r>
            <w:r/>
          </w:p>
        </w:tc>
        <w:tc>
          <w:tcPr>
            <w:tcW w:w="780" w:type="dxa"/>
            <w:vAlign w:val="center"/>
            <w:textDirection w:val="lrTb"/>
            <w:noWrap/>
          </w:tcPr>
          <w:p>
            <w:pPr>
              <w:jc w:val="center"/>
              <w:rPr>
                <w:rFonts w:ascii="宋体" w:hAnsi="宋体" w:cs="宋体"/>
                <w:sz w:val="24"/>
                <w:szCs w:val="24"/>
              </w:rPr>
            </w:pPr>
            <w:r>
              <w:rPr>
                <w:rFonts w:hint="eastAsia" w:ascii="宋体" w:hAnsi="宋体"/>
                <w:sz w:val="24"/>
                <w:szCs w:val="24"/>
              </w:rPr>
              <w:t xml:space="preserve">8</w:t>
            </w:r>
            <w:r/>
          </w:p>
        </w:tc>
        <w:tc>
          <w:tcPr>
            <w:tcW w:w="6555" w:type="dxa"/>
            <w:vAlign w:val="center"/>
            <w:textDirection w:val="lrTb"/>
            <w:noWrap/>
          </w:tcPr>
          <w:p>
            <w:pPr>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针对档案</w:t>
            </w:r>
            <w:r>
              <w:rPr>
                <w:rFonts w:hint="eastAsia" w:ascii="宋体" w:hAnsi="宋体" w:eastAsia="宋体" w:cs="宋体"/>
                <w:color w:val="000000" w:themeColor="text1"/>
                <w:sz w:val="24"/>
                <w:szCs w:val="24"/>
                <w:highlight w:val="none"/>
                <w14:textFill>
                  <w14:solidFill>
                    <w14:schemeClr w14:val="tx1"/>
                  </w14:solidFill>
                </w14:textFill>
              </w:rPr>
              <w:t xml:space="preserve">整理要求提出高效、合理化建议，保障档案材料正确性及档案材料美观性。</w:t>
            </w:r>
            <w:r/>
          </w:p>
          <w:p>
            <w:pPr>
              <w:jc w:val="left"/>
              <w:spacing w:line="240" w:lineRule="auto"/>
              <w:rPr>
                <w:rFonts w:ascii="宋体" w:hAnsi="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根据本项目的工作标准和技术要求，针对本项目提出的合理化建议方案针对性强。总体合理化建议设想全面，方案针对性强的，得8分；总体合理化建议设想较全面，方案针对性较强的，得5分；总体合理化建议设想全面性、方案针对性一般的，得3分；否则不计分。</w:t>
            </w:r>
            <w:r/>
          </w:p>
        </w:tc>
      </w:tr>
      <w:tr>
        <w:trPr>
          <w:jc w:val="center"/>
          <w:trHeight w:val="1046"/>
        </w:trPr>
        <w:tc>
          <w:tcPr>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rPr>
                <w:rFonts w:ascii="宋体" w:hAnsi="宋体" w:cs="宋体"/>
                <w:sz w:val="24"/>
                <w:szCs w:val="24"/>
              </w:rPr>
            </w:pPr>
            <w:r>
              <w:rPr>
                <w:rFonts w:hint="eastAsia" w:ascii="宋体" w:hAnsi="宋体"/>
                <w:sz w:val="24"/>
                <w:szCs w:val="24"/>
              </w:rPr>
              <w:t xml:space="preserve">2</w:t>
            </w:r>
            <w:r/>
          </w:p>
        </w:tc>
        <w:tc>
          <w:tcPr>
            <w:tcW w:w="1365" w:type="dxa"/>
            <w:vAlign w:val="center"/>
            <w:textDirection w:val="lrTb"/>
            <w:noWrap/>
          </w:tcPr>
          <w:p>
            <w:pPr>
              <w:pStyle w:val="682"/>
              <w:numPr>
                <w:ilvl w:val="2"/>
                <w:numId w:val="0"/>
              </w:numPr>
              <w:jc w:val="center"/>
              <w:spacing w:line="240" w:lineRule="auto"/>
              <w:rPr>
                <w:rFonts w:ascii="宋体" w:hAnsi="宋体"/>
                <w:sz w:val="24"/>
                <w:szCs w:val="24"/>
                <w:lang w:val="zh-CN"/>
              </w:rPr>
            </w:pPr>
            <w:r>
              <w:rPr>
                <w:rFonts w:hint="eastAsia" w:ascii="宋体" w:hAnsi="宋体"/>
                <w:b w:val="0"/>
                <w:sz w:val="24"/>
                <w:szCs w:val="24"/>
              </w:rPr>
              <w:t xml:space="preserve">案卷信息录入</w:t>
            </w:r>
            <w:r/>
          </w:p>
        </w:tc>
        <w:tc>
          <w:tcPr>
            <w:tcW w:w="780" w:type="dxa"/>
            <w:vAlign w:val="center"/>
            <w:textDirection w:val="lrTb"/>
            <w:noWrap/>
          </w:tcPr>
          <w:p>
            <w:pPr>
              <w:jc w:val="center"/>
              <w:rPr>
                <w:rFonts w:ascii="宋体" w:hAnsi="宋体" w:cs="宋体"/>
                <w:sz w:val="24"/>
                <w:szCs w:val="24"/>
              </w:rPr>
            </w:pPr>
            <w:r>
              <w:rPr>
                <w:rFonts w:hint="eastAsia" w:ascii="宋体" w:hAnsi="宋体"/>
                <w:sz w:val="24"/>
                <w:szCs w:val="24"/>
              </w:rPr>
              <w:t xml:space="preserve">8</w:t>
            </w:r>
            <w:r/>
          </w:p>
        </w:tc>
        <w:tc>
          <w:tcPr>
            <w:tcW w:w="6555" w:type="dxa"/>
            <w:vAlign w:val="center"/>
            <w:textDirection w:val="lrTb"/>
            <w:noWrap/>
          </w:tcPr>
          <w:p>
            <w:pPr>
              <w:pStyle w:val="927"/>
              <w:ind w:firstLine="0"/>
              <w:spacing w:line="240" w:lineRule="auto"/>
              <w:shd w:val="clear" w:color="auto" w:fill="auto"/>
              <w:tabs>
                <w:tab w:val="left" w:pos="1166" w:leader="none"/>
              </w:tabs>
              <w:rPr>
                <w:rFonts w:hint="eastAsia" w:ascii="宋体" w:hAnsi="宋体" w:eastAsia="宋体" w:cs="宋体"/>
                <w:color w:val="000000" w:themeColor="text1"/>
                <w:sz w:val="24"/>
                <w:szCs w:val="24"/>
                <w:lang w:val="en-US" w:bidi="ar-SA"/>
                <w14:textFill>
                  <w14:solidFill>
                    <w14:schemeClr w14:val="tx1"/>
                  </w14:solidFill>
                </w14:textFill>
              </w:rPr>
            </w:pPr>
            <w:r>
              <w:rPr>
                <w:rFonts w:hint="eastAsia" w:ascii="宋体" w:hAnsi="宋体" w:eastAsia="宋体" w:cs="宋体"/>
                <w:color w:val="000000" w:themeColor="text1"/>
                <w:sz w:val="24"/>
                <w:szCs w:val="24"/>
                <w:lang w:val="en-US" w:bidi="ar-SA"/>
                <w14:textFill>
                  <w14:solidFill>
                    <w14:schemeClr w14:val="tx1"/>
                  </w14:solidFill>
                </w14:textFill>
              </w:rPr>
              <w:t xml:space="preserve">为保证案卷信息材料准确及案卷各类编号符合要求，卷案题名规范，各类信息、保管期限、页数、归档部门等录入信息符合规范要求，提出合理化建议及保障措施。</w:t>
            </w:r>
            <w:r/>
          </w:p>
          <w:p>
            <w:pPr>
              <w:pStyle w:val="927"/>
              <w:ind w:firstLine="0"/>
              <w:spacing w:line="240" w:lineRule="auto"/>
              <w:shd w:val="clear" w:color="auto" w:fill="auto"/>
              <w:tabs>
                <w:tab w:val="left" w:pos="1166" w:leader="none"/>
              </w:tabs>
              <w:rPr>
                <w:rFonts w:ascii="宋体" w:hAnsi="宋体" w:eastAsia="宋体" w:cs="Calibri"/>
                <w:sz w:val="24"/>
                <w:szCs w:val="24"/>
                <w:lang w:val="en-US" w:bidi="ar-SA"/>
              </w:rPr>
            </w:pPr>
            <w:r>
              <w:rPr>
                <w:rFonts w:hint="eastAsia" w:ascii="宋体" w:hAnsi="宋体" w:eastAsia="宋体" w:cs="宋体"/>
                <w:color w:val="000000" w:themeColor="text1"/>
                <w:sz w:val="24"/>
                <w:szCs w:val="24"/>
                <w:lang w:val="en-US"/>
                <w14:textFill>
                  <w14:solidFill>
                    <w14:schemeClr w14:val="tx1"/>
                  </w14:solidFill>
                </w14:textFill>
              </w:rPr>
              <w:t xml:space="preserve">根据本项目的工作标准和技术要求，针对本项目提出的合理化建议及保障措施针对性强。总体合理化建议设想全面，保障措施完善，合理且针对性强的，得8分；总体合理化建议设想较全面，保障措施较完善，合理且针对性较强的，得5分；总体合理化建议，保障措施，合理且针对性一般的，得3分；否则不计分。</w:t>
            </w:r>
            <w:r/>
          </w:p>
        </w:tc>
      </w:tr>
      <w:tr>
        <w:trPr>
          <w:jc w:val="center"/>
          <w:trHeight w:val="592"/>
        </w:trPr>
        <w:tc>
          <w:tcPr>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rPr>
                <w:rFonts w:ascii="宋体" w:hAnsi="宋体" w:cs="宋体"/>
                <w:sz w:val="24"/>
                <w:szCs w:val="24"/>
              </w:rPr>
            </w:pPr>
            <w:r>
              <w:rPr>
                <w:rFonts w:hint="eastAsia" w:ascii="宋体" w:hAnsi="宋体"/>
                <w:sz w:val="24"/>
                <w:szCs w:val="24"/>
              </w:rPr>
              <w:t xml:space="preserve">3</w:t>
            </w:r>
            <w:r/>
          </w:p>
        </w:tc>
        <w:tc>
          <w:tcPr>
            <w:tcW w:w="1365" w:type="dxa"/>
            <w:vAlign w:val="center"/>
            <w:textDirection w:val="lrTb"/>
            <w:noWrap/>
          </w:tcPr>
          <w:p>
            <w:pPr>
              <w:pStyle w:val="682"/>
              <w:numPr>
                <w:ilvl w:val="2"/>
                <w:numId w:val="0"/>
              </w:numPr>
              <w:jc w:val="center"/>
              <w:spacing w:line="240" w:lineRule="auto"/>
              <w:rPr>
                <w:rFonts w:ascii="宋体" w:hAnsi="宋体"/>
                <w:sz w:val="24"/>
                <w:szCs w:val="24"/>
                <w:lang w:val="zh-CN"/>
              </w:rPr>
            </w:pPr>
            <w:r>
              <w:rPr>
                <w:rFonts w:hint="eastAsia" w:ascii="宋体" w:hAnsi="宋体"/>
                <w:b w:val="0"/>
                <w:sz w:val="24"/>
                <w:szCs w:val="24"/>
              </w:rPr>
              <w:t xml:space="preserve">文件信息录入</w:t>
            </w:r>
            <w:r/>
          </w:p>
        </w:tc>
        <w:tc>
          <w:tcPr>
            <w:tcW w:w="780" w:type="dxa"/>
            <w:vAlign w:val="center"/>
            <w:textDirection w:val="lrTb"/>
            <w:noWrap/>
          </w:tcPr>
          <w:p>
            <w:pPr>
              <w:jc w:val="center"/>
              <w:rPr>
                <w:rFonts w:ascii="宋体" w:hAnsi="宋体" w:cs="宋体"/>
                <w:sz w:val="24"/>
                <w:szCs w:val="24"/>
              </w:rPr>
            </w:pPr>
            <w:r>
              <w:rPr>
                <w:rFonts w:hint="eastAsia" w:ascii="宋体" w:hAnsi="宋体"/>
                <w:sz w:val="24"/>
                <w:szCs w:val="24"/>
              </w:rPr>
              <w:t xml:space="preserve">8</w:t>
            </w:r>
            <w:r/>
          </w:p>
        </w:tc>
        <w:tc>
          <w:tcPr>
            <w:tcW w:w="6555" w:type="dxa"/>
            <w:vAlign w:val="center"/>
            <w:textDirection w:val="lrTb"/>
            <w:noWrap/>
          </w:tcPr>
          <w:p>
            <w:pPr>
              <w:pStyle w:val="927"/>
              <w:ind w:firstLine="0"/>
              <w:spacing w:line="240" w:lineRule="auto"/>
              <w:shd w:val="clear" w:color="auto" w:fill="auto"/>
              <w:tabs>
                <w:tab w:val="left" w:pos="1166" w:leader="none"/>
              </w:tabs>
              <w:rPr>
                <w:rFonts w:hint="eastAsia" w:ascii="宋体" w:hAnsi="宋体" w:eastAsia="宋体" w:cs="宋体"/>
                <w:color w:val="000000" w:themeColor="text1"/>
                <w:sz w:val="24"/>
                <w:szCs w:val="24"/>
                <w:lang w:val="en-US" w:bidi="ar-SA"/>
                <w14:textFill>
                  <w14:solidFill>
                    <w14:schemeClr w14:val="tx1"/>
                  </w14:solidFill>
                </w14:textFill>
              </w:rPr>
            </w:pPr>
            <w:r>
              <w:rPr>
                <w:rFonts w:hint="eastAsia" w:ascii="宋体" w:hAnsi="宋体" w:eastAsia="宋体" w:cs="宋体"/>
                <w:color w:val="000000" w:themeColor="text1"/>
                <w:sz w:val="24"/>
                <w:szCs w:val="24"/>
                <w:lang w:val="en-US" w:bidi="ar-SA"/>
                <w14:textFill>
                  <w14:solidFill>
                    <w14:schemeClr w14:val="tx1"/>
                  </w14:solidFill>
                </w14:textFill>
              </w:rPr>
              <w:t xml:space="preserve">为保证录入文件信息按规范要求的格式录入，录入信息不得出现错误，录入信息不得出现遗漏，提出合理化建议及保障措施。</w:t>
            </w:r>
            <w:r/>
          </w:p>
          <w:p>
            <w:pPr>
              <w:pStyle w:val="927"/>
              <w:ind w:firstLine="0"/>
              <w:spacing w:line="240" w:lineRule="auto"/>
              <w:shd w:val="clear" w:color="auto" w:fill="auto"/>
              <w:tabs>
                <w:tab w:val="left" w:pos="1166" w:leader="none"/>
              </w:tabs>
              <w:rPr>
                <w:rFonts w:ascii="宋体" w:hAnsi="宋体" w:eastAsia="宋体" w:cs="Calibri"/>
                <w:sz w:val="24"/>
                <w:szCs w:val="24"/>
                <w:lang w:val="en-US" w:bidi="ar-SA"/>
              </w:rPr>
            </w:pPr>
            <w:r>
              <w:rPr>
                <w:rFonts w:hint="eastAsia" w:ascii="宋体" w:hAnsi="宋体" w:eastAsia="宋体" w:cs="宋体"/>
                <w:color w:val="000000" w:themeColor="text1"/>
                <w:sz w:val="24"/>
                <w:szCs w:val="24"/>
                <w:lang w:val="en-US"/>
                <w14:textFill>
                  <w14:solidFill>
                    <w14:schemeClr w14:val="tx1"/>
                  </w14:solidFill>
                </w14:textFill>
              </w:rPr>
              <w:t xml:space="preserve">根据本项目的工作标准和技术要求，针对本项目提出的合理化建议及保障措施针对性强。总体合理化建议设想全面，保障措施完善，合理且针对性强的，得8分；总体合理化建议设想较全面，保障措施较完善，合理且针对性较强的，得5分；总体合理化建议，保障措施，合理且针对性一般的，得3分；否则不计分。</w:t>
            </w:r>
            <w:r/>
          </w:p>
        </w:tc>
      </w:tr>
      <w:tr>
        <w:trPr>
          <w:jc w:val="center"/>
          <w:trHeight w:val="90"/>
        </w:trPr>
        <w:tc>
          <w:tcPr>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rPr>
                <w:rFonts w:ascii="宋体" w:hAnsi="宋体"/>
                <w:sz w:val="24"/>
                <w:szCs w:val="24"/>
              </w:rPr>
            </w:pPr>
            <w:r>
              <w:rPr>
                <w:rFonts w:hint="eastAsia" w:ascii="宋体" w:hAnsi="宋体"/>
                <w:sz w:val="24"/>
                <w:szCs w:val="24"/>
              </w:rPr>
              <w:t xml:space="preserve">4</w:t>
            </w:r>
            <w:r/>
          </w:p>
        </w:tc>
        <w:tc>
          <w:tcPr>
            <w:tcW w:w="1365"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数字化</w:t>
            </w:r>
            <w:r/>
          </w:p>
          <w:p>
            <w:pPr>
              <w:jc w:val="center"/>
              <w:rPr>
                <w:rFonts w:ascii="宋体" w:hAnsi="宋体"/>
                <w:sz w:val="24"/>
                <w:szCs w:val="24"/>
                <w:lang w:val="zh-CN"/>
              </w:rPr>
            </w:pPr>
            <w:r>
              <w:rPr>
                <w:rFonts w:hint="eastAsia" w:ascii="宋体" w:hAnsi="宋体"/>
                <w:sz w:val="24"/>
                <w:szCs w:val="24"/>
              </w:rPr>
              <w:t xml:space="preserve">扫描</w:t>
            </w:r>
            <w:r/>
          </w:p>
        </w:tc>
        <w:tc>
          <w:tcPr>
            <w:tcW w:w="780" w:type="dxa"/>
            <w:vAlign w:val="center"/>
            <w:textDirection w:val="lrTb"/>
            <w:noWrap/>
          </w:tcPr>
          <w:p>
            <w:pPr>
              <w:jc w:val="center"/>
              <w:rPr>
                <w:rFonts w:ascii="宋体" w:hAnsi="宋体"/>
                <w:sz w:val="24"/>
                <w:szCs w:val="24"/>
              </w:rPr>
            </w:pPr>
            <w:r>
              <w:rPr>
                <w:rFonts w:hint="eastAsia" w:ascii="宋体" w:hAnsi="宋体"/>
                <w:sz w:val="24"/>
                <w:szCs w:val="24"/>
              </w:rPr>
              <w:t xml:space="preserve">8</w:t>
            </w:r>
            <w:r/>
          </w:p>
        </w:tc>
        <w:tc>
          <w:tcPr>
            <w:tcW w:w="6555" w:type="dxa"/>
            <w:vAlign w:val="center"/>
            <w:textDirection w:val="lrTb"/>
            <w:noWrap/>
          </w:tcPr>
          <w:p>
            <w:pPr>
              <w:pStyle w:val="927"/>
              <w:ind w:firstLine="0"/>
              <w:spacing w:line="240" w:lineRule="auto"/>
              <w:shd w:val="clear" w:color="auto" w:fill="auto"/>
              <w:tabs>
                <w:tab w:val="left" w:pos="1166" w:leader="none"/>
              </w:tabs>
              <w:rPr>
                <w:rFonts w:hint="eastAsia" w:ascii="宋体" w:hAnsi="宋体" w:eastAsia="宋体" w:cs="宋体"/>
                <w:color w:val="000000" w:themeColor="text1"/>
                <w:sz w:val="24"/>
                <w:szCs w:val="24"/>
                <w:lang w:val="en-US" w:bidi="ar-SA"/>
                <w14:textFill>
                  <w14:solidFill>
                    <w14:schemeClr w14:val="tx1"/>
                  </w14:solidFill>
                </w14:textFill>
              </w:rPr>
            </w:pPr>
            <w:r>
              <w:rPr>
                <w:rFonts w:hint="eastAsia" w:ascii="宋体" w:hAnsi="宋体" w:eastAsia="宋体" w:cs="宋体"/>
                <w:color w:val="000000" w:themeColor="text1"/>
                <w:sz w:val="24"/>
                <w:szCs w:val="24"/>
                <w:lang w:val="en-US" w:bidi="ar-SA"/>
                <w14:textFill>
                  <w14:solidFill>
                    <w14:schemeClr w14:val="tx1"/>
                  </w14:solidFill>
                </w14:textFill>
              </w:rPr>
              <w:t xml:space="preserve">扫描参数、工艺、规范对招标要求的充分响应，提供打印卷面及卷内目录、装订的解决方案，图像扫描流程是否合理、高效，是否采用工程扫描仪处理大幅面材料，保证档案内容与档案载体的安全，提供相应的安全保障方案。</w:t>
            </w:r>
            <w:r/>
          </w:p>
          <w:p>
            <w:pPr>
              <w:pStyle w:val="927"/>
              <w:ind w:firstLine="0"/>
              <w:spacing w:line="240" w:lineRule="auto"/>
              <w:shd w:val="clear" w:color="auto" w:fill="auto"/>
              <w:tabs>
                <w:tab w:val="left" w:pos="1166" w:leader="none"/>
              </w:tabs>
              <w:rPr>
                <w:rFonts w:ascii="宋体" w:hAnsi="宋体" w:eastAsia="宋体" w:cs="Calibri"/>
                <w:sz w:val="24"/>
                <w:szCs w:val="24"/>
                <w:lang w:val="en-US" w:bidi="ar-SA"/>
              </w:rPr>
            </w:pPr>
            <w:r>
              <w:rPr>
                <w:rFonts w:hint="eastAsia" w:ascii="宋体" w:hAnsi="宋体" w:eastAsia="宋体" w:cs="宋体"/>
                <w:color w:val="000000" w:themeColor="text1"/>
                <w:sz w:val="24"/>
                <w:szCs w:val="24"/>
                <w:lang w:val="en-US"/>
                <w14:textFill>
                  <w14:solidFill>
                    <w14:schemeClr w14:val="tx1"/>
                  </w14:solidFill>
                </w14:textFill>
              </w:rPr>
              <w:t xml:space="preserve">根据本项目的工作标准和技术要求，针对本项</w:t>
            </w:r>
            <w:r>
              <w:rPr>
                <w:rFonts w:hint="eastAsia" w:ascii="宋体" w:hAnsi="宋体" w:eastAsia="宋体" w:cs="宋体"/>
                <w:color w:val="000000" w:themeColor="text1"/>
                <w:sz w:val="24"/>
                <w:szCs w:val="24"/>
                <w14:textFill>
                  <w14:solidFill>
                    <w14:schemeClr w14:val="tx1"/>
                  </w14:solidFill>
                </w14:textFill>
              </w:rPr>
              <w:t xml:space="preserve">目提出</w:t>
            </w:r>
            <w:r>
              <w:rPr>
                <w:rFonts w:hint="eastAsia" w:ascii="宋体" w:hAnsi="宋体" w:eastAsia="宋体" w:cs="宋体"/>
                <w:color w:val="000000" w:themeColor="text1"/>
                <w:sz w:val="24"/>
                <w:szCs w:val="24"/>
                <w:lang w:val="en-US"/>
                <w14:textFill>
                  <w14:solidFill>
                    <w14:schemeClr w14:val="tx1"/>
                  </w14:solidFill>
                </w14:textFill>
              </w:rPr>
              <w:t xml:space="preserve">安全保障方案合理、完善且具有针对性。总体方案合理、完善且对针性强的，得8分；总体方案合理、完善且对针对性较强的，得5分；总体方案合理、完善且对针对性一般的，得3分；否则不计分。</w:t>
            </w:r>
            <w:r/>
          </w:p>
        </w:tc>
      </w:tr>
      <w:tr>
        <w:trPr>
          <w:jc w:val="center"/>
          <w:trHeight w:val="1812"/>
        </w:trPr>
        <w:tc>
          <w:tcPr>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rPr>
                <w:rFonts w:ascii="宋体" w:hAnsi="宋体"/>
                <w:sz w:val="24"/>
                <w:szCs w:val="24"/>
              </w:rPr>
            </w:pPr>
            <w:r>
              <w:rPr>
                <w:rFonts w:hint="eastAsia" w:ascii="宋体" w:hAnsi="宋体"/>
                <w:sz w:val="24"/>
                <w:szCs w:val="24"/>
              </w:rPr>
              <w:t xml:space="preserve">5</w:t>
            </w:r>
            <w:r/>
          </w:p>
        </w:tc>
        <w:tc>
          <w:tcPr>
            <w:tcW w:w="1365" w:type="dxa"/>
            <w:vAlign w:val="center"/>
            <w:textDirection w:val="lrTb"/>
            <w:noWrap/>
          </w:tcPr>
          <w:p>
            <w:pPr>
              <w:pStyle w:val="682"/>
              <w:numPr>
                <w:ilvl w:val="2"/>
                <w:numId w:val="0"/>
              </w:numPr>
              <w:jc w:val="center"/>
              <w:spacing w:line="240" w:lineRule="auto"/>
              <w:rPr>
                <w:rFonts w:ascii="宋体" w:hAnsi="宋体"/>
                <w:b w:val="0"/>
                <w:sz w:val="24"/>
                <w:szCs w:val="24"/>
              </w:rPr>
            </w:pPr>
            <w:r>
              <w:rPr>
                <w:rFonts w:hint="eastAsia" w:ascii="宋体" w:hAnsi="宋体"/>
                <w:b w:val="0"/>
                <w:sz w:val="24"/>
                <w:szCs w:val="24"/>
              </w:rPr>
              <w:t xml:space="preserve">数据挂接</w:t>
            </w:r>
            <w:r/>
          </w:p>
          <w:p>
            <w:pPr>
              <w:pStyle w:val="682"/>
              <w:numPr>
                <w:ilvl w:val="2"/>
                <w:numId w:val="0"/>
              </w:numPr>
              <w:jc w:val="center"/>
              <w:spacing w:line="240" w:lineRule="auto"/>
              <w:rPr>
                <w:rFonts w:ascii="宋体" w:hAnsi="宋体"/>
                <w:sz w:val="24"/>
                <w:szCs w:val="24"/>
                <w:lang w:val="zh-CN"/>
              </w:rPr>
            </w:pPr>
            <w:r>
              <w:rPr>
                <w:rFonts w:hint="eastAsia" w:ascii="宋体" w:hAnsi="宋体"/>
                <w:b w:val="0"/>
                <w:sz w:val="24"/>
                <w:szCs w:val="24"/>
              </w:rPr>
              <w:t xml:space="preserve">及备份</w:t>
            </w:r>
            <w:r/>
          </w:p>
        </w:tc>
        <w:tc>
          <w:tcPr>
            <w:tcW w:w="780" w:type="dxa"/>
            <w:vAlign w:val="center"/>
            <w:textDirection w:val="lrTb"/>
            <w:noWrap/>
          </w:tcPr>
          <w:p>
            <w:pPr>
              <w:jc w:val="center"/>
              <w:rPr>
                <w:rFonts w:ascii="宋体" w:hAnsi="宋体"/>
                <w:sz w:val="24"/>
                <w:szCs w:val="24"/>
              </w:rPr>
            </w:pPr>
            <w:r>
              <w:rPr>
                <w:rFonts w:hint="eastAsia" w:ascii="宋体" w:hAnsi="宋体"/>
                <w:sz w:val="24"/>
                <w:szCs w:val="24"/>
              </w:rPr>
              <w:t xml:space="preserve">7</w:t>
            </w:r>
            <w:r/>
          </w:p>
        </w:tc>
        <w:tc>
          <w:tcPr>
            <w:tcW w:w="6555" w:type="dxa"/>
            <w:vAlign w:val="center"/>
            <w:textDirection w:val="lrTb"/>
            <w:noWrap/>
          </w:tcPr>
          <w:p>
            <w:pPr>
              <w:pStyle w:val="927"/>
              <w:ind w:firstLine="0"/>
              <w:spacing w:line="240" w:lineRule="auto"/>
              <w:shd w:val="clear" w:color="auto" w:fill="auto"/>
              <w:tabs>
                <w:tab w:val="left" w:pos="1536" w:leader="none"/>
              </w:tabs>
              <w:rPr>
                <w:rFonts w:hint="eastAsia" w:ascii="宋体" w:hAnsi="宋体" w:eastAsia="宋体" w:cs="宋体"/>
                <w:color w:val="000000" w:themeColor="text1"/>
                <w:sz w:val="24"/>
                <w:szCs w:val="24"/>
                <w:lang w:val="en-US" w:bidi="ar-SA"/>
                <w14:textFill>
                  <w14:solidFill>
                    <w14:schemeClr w14:val="tx1"/>
                  </w14:solidFill>
                </w14:textFill>
              </w:rPr>
            </w:pPr>
            <w:r>
              <w:rPr>
                <w:rFonts w:hint="eastAsia" w:ascii="宋体" w:hAnsi="宋体" w:eastAsia="宋体" w:cs="宋体"/>
                <w:color w:val="000000" w:themeColor="text1"/>
                <w:sz w:val="24"/>
                <w:szCs w:val="24"/>
                <w:lang w:val="en-US" w:bidi="ar-SA"/>
                <w14:textFill>
                  <w14:solidFill>
                    <w14:schemeClr w14:val="tx1"/>
                  </w14:solidFill>
                </w14:textFill>
              </w:rPr>
              <w:t xml:space="preserve">整理完毕的数据按照时限要求及时挂接，提供完整的备份方案、备份数据检验方案，有效保证数据安全，数据备份后提供完善的标签管理服务。</w:t>
            </w:r>
            <w:r/>
          </w:p>
          <w:p>
            <w:pPr>
              <w:pStyle w:val="927"/>
              <w:ind w:firstLine="0"/>
              <w:spacing w:line="240" w:lineRule="auto"/>
              <w:shd w:val="clear" w:color="auto" w:fill="auto"/>
              <w:tabs>
                <w:tab w:val="left" w:pos="1536" w:leader="none"/>
              </w:tabs>
              <w:rPr>
                <w:rFonts w:ascii="宋体" w:hAnsi="宋体" w:eastAsia="宋体" w:cs="Calibri"/>
                <w:sz w:val="24"/>
                <w:szCs w:val="24"/>
                <w:lang w:val="en-US" w:bidi="ar-SA"/>
              </w:rPr>
            </w:pPr>
            <w:r>
              <w:rPr>
                <w:rFonts w:hint="eastAsia" w:ascii="宋体" w:hAnsi="宋体" w:eastAsia="宋体" w:cs="宋体"/>
                <w:color w:val="000000" w:themeColor="text1"/>
                <w:sz w:val="24"/>
                <w:szCs w:val="24"/>
                <w:lang w:val="en-US"/>
                <w14:textFill>
                  <w14:solidFill>
                    <w14:schemeClr w14:val="tx1"/>
                  </w14:solidFill>
                </w14:textFill>
              </w:rPr>
              <w:t xml:space="preserve">根据本项目的工作标准和技术要求，针对本项目提供对应的数据安全方案及管理服务。总体方案合理、完善、安全、针对性强，且管理服务优质完善的，得7分；总体方案合理、完善、安全、针对性较强，且管理服务较完善的，得</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14:textFill>
                  <w14:solidFill>
                    <w14:schemeClr w14:val="tx1"/>
                  </w14:solidFill>
                </w14:textFill>
              </w:rPr>
              <w:t xml:space="preserve">分；总体方案合理、完善、安全、针对性，管理服务一般的，得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val="en-US"/>
                <w14:textFill>
                  <w14:solidFill>
                    <w14:schemeClr w14:val="tx1"/>
                  </w14:solidFill>
                </w14:textFill>
              </w:rPr>
              <w:t xml:space="preserve">分；否则不计分。</w:t>
            </w:r>
            <w:r/>
          </w:p>
        </w:tc>
      </w:tr>
      <w:tr>
        <w:trPr>
          <w:jc w:val="center"/>
          <w:trHeight w:val="1046"/>
        </w:trPr>
        <w:tc>
          <w:tcPr>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rPr>
                <w:rFonts w:ascii="宋体" w:hAnsi="宋体"/>
                <w:sz w:val="24"/>
                <w:szCs w:val="24"/>
              </w:rPr>
            </w:pPr>
            <w:r>
              <w:rPr>
                <w:rFonts w:hint="eastAsia" w:ascii="宋体" w:hAnsi="宋体"/>
                <w:sz w:val="24"/>
                <w:szCs w:val="24"/>
              </w:rPr>
              <w:t xml:space="preserve">6</w:t>
            </w:r>
            <w:r/>
          </w:p>
        </w:tc>
        <w:tc>
          <w:tcPr>
            <w:tcW w:w="1365" w:type="dxa"/>
            <w:vAlign w:val="center"/>
            <w:textDirection w:val="lrTb"/>
            <w:noWrap/>
          </w:tcPr>
          <w:p>
            <w:pPr>
              <w:jc w:val="center"/>
              <w:rPr>
                <w:rFonts w:ascii="宋体" w:hAnsi="宋体"/>
                <w:sz w:val="24"/>
                <w:szCs w:val="24"/>
              </w:rPr>
            </w:pPr>
            <w:r>
              <w:rPr>
                <w:rFonts w:hint="eastAsia" w:ascii="宋体" w:hAnsi="宋体"/>
                <w:sz w:val="24"/>
                <w:szCs w:val="24"/>
              </w:rPr>
              <w:t xml:space="preserve">数字化成果及数据安全</w:t>
            </w:r>
            <w:r/>
          </w:p>
        </w:tc>
        <w:tc>
          <w:tcPr>
            <w:tcW w:w="780" w:type="dxa"/>
            <w:vAlign w:val="center"/>
            <w:textDirection w:val="lrTb"/>
            <w:noWrap/>
          </w:tcPr>
          <w:p>
            <w:pPr>
              <w:jc w:val="center"/>
              <w:rPr>
                <w:rFonts w:ascii="宋体" w:hAnsi="宋体"/>
                <w:sz w:val="24"/>
                <w:szCs w:val="24"/>
              </w:rPr>
            </w:pPr>
            <w:r>
              <w:rPr>
                <w:rFonts w:hint="eastAsia" w:ascii="宋体" w:hAnsi="宋体"/>
                <w:sz w:val="24"/>
                <w:szCs w:val="24"/>
              </w:rPr>
              <w:t xml:space="preserve">7</w:t>
            </w:r>
            <w:r/>
          </w:p>
        </w:tc>
        <w:tc>
          <w:tcPr>
            <w:tcW w:w="6555" w:type="dxa"/>
            <w:vAlign w:val="center"/>
            <w:textDirection w:val="lrTb"/>
            <w:noWrap/>
          </w:tcPr>
          <w:p>
            <w:pPr>
              <w:spacing w:line="240" w:lineRule="auto"/>
              <w:rPr>
                <w:rFonts w:ascii="宋体" w:hAnsi="宋体"/>
                <w:sz w:val="24"/>
                <w:szCs w:val="24"/>
              </w:rPr>
            </w:pPr>
            <w:r>
              <w:rPr>
                <w:rFonts w:hint="eastAsia" w:ascii="宋体" w:hAnsi="宋体"/>
                <w:sz w:val="24"/>
                <w:szCs w:val="24"/>
              </w:rPr>
              <w:t xml:space="preserve">采取档案数据保真、保全类等相关软件技术服务，是否符合国家档案局关于数字资源长期保存需求规范，现场安全保障措施是否完备，防止档案数据损坏、篡改等系列安全问题，提供数据安全保障解决方案。</w:t>
            </w:r>
            <w:r/>
          </w:p>
          <w:p>
            <w:pPr>
              <w:spacing w:line="240" w:lineRule="auto"/>
              <w:rPr>
                <w:color w:val="ff0000"/>
                <w:sz w:val="24"/>
                <w:szCs w:val="24"/>
              </w:rPr>
            </w:pPr>
            <w:r>
              <w:rPr>
                <w:rFonts w:hint="eastAsia" w:ascii="宋体" w:hAnsi="宋体" w:eastAsia="宋体" w:cs="宋体"/>
                <w:color w:val="000000" w:themeColor="text1"/>
                <w:sz w:val="24"/>
                <w:szCs w:val="24"/>
                <w14:textFill>
                  <w14:solidFill>
                    <w14:schemeClr w14:val="tx1"/>
                  </w14:solidFill>
                </w14:textFill>
              </w:rPr>
              <w:t xml:space="preserve">根据本项目的工作标准和技术要求，针对本项目提供对应的数据安全保障解决方案。总体方案合理、完善、安全、针对性强的得7分；总体方案合理、完善、安全、针对性较强的得</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分；总体方案合理、完善、安全、针对性一般的得</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分；否则不计</w:t>
            </w:r>
            <w:r>
              <w:rPr>
                <w:rFonts w:hint="eastAsia"/>
                <w:color w:val="000000" w:themeColor="text1"/>
                <w:sz w:val="24"/>
                <w:szCs w:val="24"/>
                <w14:textFill>
                  <w14:solidFill>
                    <w14:schemeClr w14:val="tx1"/>
                  </w14:solidFill>
                </w14:textFill>
              </w:rPr>
              <w:t xml:space="preserve">分。</w:t>
            </w:r>
            <w:r/>
          </w:p>
        </w:tc>
      </w:tr>
      <w:tr>
        <w:trPr>
          <w:jc w:val="center"/>
          <w:trHeight w:val="958"/>
        </w:trPr>
        <w:tc>
          <w:tcPr>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rPr>
                <w:rFonts w:ascii="宋体" w:hAnsi="宋体"/>
                <w:sz w:val="24"/>
                <w:szCs w:val="24"/>
              </w:rPr>
            </w:pPr>
            <w:r>
              <w:rPr>
                <w:rFonts w:hint="eastAsia" w:ascii="宋体" w:hAnsi="宋体"/>
                <w:sz w:val="24"/>
                <w:szCs w:val="24"/>
              </w:rPr>
              <w:t xml:space="preserve">7</w:t>
            </w:r>
            <w:r/>
          </w:p>
        </w:tc>
        <w:tc>
          <w:tcPr>
            <w:tcW w:w="1365" w:type="dxa"/>
            <w:vAlign w:val="center"/>
            <w:textDirection w:val="lrTb"/>
            <w:noWrap/>
          </w:tcPr>
          <w:p>
            <w:pPr>
              <w:jc w:val="center"/>
              <w:rPr>
                <w:rFonts w:ascii="宋体" w:hAnsi="宋体"/>
                <w:sz w:val="24"/>
                <w:szCs w:val="24"/>
              </w:rPr>
            </w:pPr>
            <w:r>
              <w:rPr>
                <w:rFonts w:hint="eastAsia" w:ascii="宋体" w:hAnsi="宋体"/>
                <w:sz w:val="24"/>
                <w:szCs w:val="24"/>
              </w:rPr>
              <w:t xml:space="preserve">时限要求</w:t>
            </w:r>
            <w:r/>
          </w:p>
        </w:tc>
        <w:tc>
          <w:tcPr>
            <w:tcW w:w="780" w:type="dxa"/>
            <w:vAlign w:val="center"/>
            <w:textDirection w:val="lrTb"/>
            <w:noWrap/>
          </w:tcPr>
          <w:p>
            <w:pPr>
              <w:jc w:val="center"/>
              <w:rPr>
                <w:rFonts w:ascii="宋体" w:hAnsi="宋体"/>
                <w:sz w:val="24"/>
                <w:szCs w:val="24"/>
              </w:rPr>
            </w:pPr>
            <w:r>
              <w:rPr>
                <w:rFonts w:hint="eastAsia" w:ascii="宋体" w:hAnsi="宋体"/>
                <w:sz w:val="24"/>
                <w:szCs w:val="24"/>
              </w:rPr>
              <w:t xml:space="preserve">7</w:t>
            </w:r>
            <w:r/>
          </w:p>
        </w:tc>
        <w:tc>
          <w:tcPr>
            <w:tcW w:w="6555" w:type="dxa"/>
            <w:vAlign w:val="center"/>
            <w:textDirection w:val="lrTb"/>
            <w:noWrap/>
          </w:tcPr>
          <w:p>
            <w:pPr>
              <w:spacing w:line="240" w:lineRule="auto"/>
              <w:rPr>
                <w:rFonts w:ascii="宋体" w:hAnsi="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根据投标方项目进度计划及按期完成保证措施的完整性、合理性、周密性和可行性等方面进行综合评审打分。根据本项目的工作标准和技术要求，针对本项目进度计划全面、保证措施可靠合理且针对性强的，得7分；针对本项目进度计划全面、保证措施较可靠合理且针对性较强的，得</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分；针对本项目进度计划、保证措施，且针对性一般的，得2分；否则不计分。</w:t>
            </w:r>
            <w:r/>
          </w:p>
        </w:tc>
      </w:tr>
      <w:tr>
        <w:trPr>
          <w:jc w:val="center"/>
          <w:trHeight w:val="746"/>
        </w:trPr>
        <w:tc>
          <w:tcPr>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rPr>
                <w:rFonts w:ascii="宋体" w:hAnsi="宋体"/>
                <w:sz w:val="24"/>
                <w:szCs w:val="24"/>
              </w:rPr>
            </w:pPr>
            <w:r>
              <w:rPr>
                <w:rFonts w:hint="eastAsia" w:ascii="宋体" w:hAnsi="宋体"/>
                <w:sz w:val="24"/>
                <w:szCs w:val="24"/>
              </w:rPr>
              <w:t xml:space="preserve">8</w:t>
            </w:r>
            <w:r/>
          </w:p>
        </w:tc>
        <w:tc>
          <w:tcPr>
            <w:tcW w:w="1365" w:type="dxa"/>
            <w:vAlign w:val="center"/>
            <w:textDirection w:val="lrTb"/>
            <w:noWrap/>
          </w:tcPr>
          <w:p>
            <w:pPr>
              <w:jc w:val="center"/>
              <w:rPr>
                <w:rFonts w:ascii="宋体" w:hAnsi="宋体"/>
                <w:sz w:val="24"/>
                <w:szCs w:val="24"/>
              </w:rPr>
            </w:pPr>
            <w:r>
              <w:rPr>
                <w:rFonts w:hint="eastAsia" w:ascii="宋体" w:hAnsi="宋体"/>
                <w:sz w:val="24"/>
                <w:szCs w:val="24"/>
              </w:rPr>
              <w:t xml:space="preserve">其他要求</w:t>
            </w:r>
            <w:r/>
          </w:p>
        </w:tc>
        <w:tc>
          <w:tcPr>
            <w:tcW w:w="780" w:type="dxa"/>
            <w:vAlign w:val="center"/>
            <w:textDirection w:val="lrTb"/>
            <w:noWrap/>
          </w:tcPr>
          <w:p>
            <w:pPr>
              <w:jc w:val="center"/>
              <w:rPr>
                <w:rFonts w:ascii="宋体" w:hAnsi="宋体"/>
                <w:sz w:val="24"/>
                <w:szCs w:val="24"/>
              </w:rPr>
            </w:pPr>
            <w:r>
              <w:rPr>
                <w:rFonts w:hint="eastAsia" w:ascii="宋体" w:hAnsi="宋体"/>
                <w:sz w:val="24"/>
                <w:szCs w:val="24"/>
              </w:rPr>
              <w:t xml:space="preserve">7</w:t>
            </w:r>
            <w:r/>
          </w:p>
        </w:tc>
        <w:tc>
          <w:tcPr>
            <w:tcW w:w="6555" w:type="dxa"/>
            <w:vAlign w:val="center"/>
            <w:textDirection w:val="lrTb"/>
            <w:noWrap/>
          </w:tcPr>
          <w:p>
            <w:pPr>
              <w:pStyle w:val="927"/>
              <w:ind w:left="0" w:firstLine="0"/>
              <w:spacing w:line="240" w:lineRule="auto"/>
              <w:shd w:val="clear" w:color="auto" w:fill="auto"/>
              <w:tabs>
                <w:tab w:val="left" w:pos="1637" w:leader="none"/>
              </w:tabs>
              <w:rPr>
                <w:rFonts w:hint="eastAsia" w:ascii="宋体" w:hAnsi="宋体" w:eastAsia="宋体" w:cs="宋体"/>
                <w:color w:val="000000" w:themeColor="text1"/>
                <w:sz w:val="24"/>
                <w:szCs w:val="24"/>
                <w:lang w:val="en-US" w:bidi="ar-SA"/>
                <w14:textFill>
                  <w14:solidFill>
                    <w14:schemeClr w14:val="tx1"/>
                  </w14:solidFill>
                </w14:textFill>
              </w:rPr>
            </w:pPr>
            <w:r>
              <w:rPr>
                <w:rFonts w:hint="eastAsia" w:ascii="宋体" w:hAnsi="宋体" w:eastAsia="宋体" w:cs="宋体"/>
                <w:color w:val="000000" w:themeColor="text1"/>
                <w:sz w:val="24"/>
                <w:szCs w:val="24"/>
                <w:lang w:val="en-US" w:bidi="ar-SA"/>
                <w14:textFill>
                  <w14:solidFill>
                    <w14:schemeClr w14:val="tx1"/>
                  </w14:solidFill>
                </w14:textFill>
              </w:rPr>
              <w:t xml:space="preserve">项目质量管理及登记资料流转管理制度、质量检验方法和标准、质检人员配备符合要求，能够提供完整的项目实施方案，提供完善的技术支持服务、完整的应急响应方案，针对员工的安全教育、管理是否完善。</w:t>
            </w:r>
            <w:r/>
          </w:p>
          <w:p>
            <w:pPr>
              <w:spacing w:line="240" w:lineRule="auto"/>
              <w:rPr>
                <w:rFonts w:ascii="宋体" w:hAnsi="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根据本项目的工作标准和技术要求，针对本项目提供完整的配套项目实施方案。整体配套项目实施方案合理、完善、安全、且针对性强的，得7分；整体配套项目实施方案合理、完善、安全、且针对性较强的，得</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分；整体配套项目实施方案合理、完善、安全、且针对性一般的，得2分；否则不计分。</w:t>
            </w:r>
            <w:r/>
          </w:p>
        </w:tc>
      </w:tr>
      <w:tr>
        <w:trPr>
          <w:jc w:val="center"/>
          <w:trHeight w:val="382"/>
        </w:trPr>
        <w:tc>
          <w:tcPr>
            <w:tcW w:w="957" w:type="dxa"/>
            <w:vAlign w:val="center"/>
            <w:vMerge w:val="restart"/>
            <w:textDirection w:val="lrTb"/>
            <w:noWrap/>
          </w:tcPr>
          <w:p>
            <w:pPr>
              <w:jc w:val="cente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商务</w:t>
            </w:r>
            <w:r/>
          </w:p>
          <w:p>
            <w:pPr>
              <w:jc w:val="center"/>
              <w:rPr>
                <w:rFonts w:ascii="宋体" w:hAnsi="宋体"/>
                <w:sz w:val="24"/>
                <w:szCs w:val="24"/>
              </w:rPr>
            </w:pPr>
            <w:r>
              <w:rPr>
                <w:rFonts w:hint="eastAsia" w:ascii="宋体" w:hAnsi="宋体" w:cs="宋体"/>
                <w:color w:val="000000" w:themeColor="text1"/>
                <w:sz w:val="24"/>
                <w:szCs w:val="24"/>
                <w14:textFill>
                  <w14:solidFill>
                    <w14:schemeClr w14:val="tx1"/>
                  </w14:solidFill>
                </w14:textFill>
              </w:rPr>
              <w:t xml:space="preserve">部分</w:t>
            </w:r>
            <w:r>
              <w:rPr>
                <w:rFonts w:hint="eastAsia" w:ascii="宋体" w:hAnsi="宋体"/>
                <w:color w:val="000000" w:themeColor="text1"/>
                <w:sz w:val="24"/>
                <w:szCs w:val="24"/>
                <w14:textFill>
                  <w14:solidFill>
                    <w14:schemeClr w14:val="tx1"/>
                  </w14:solidFill>
                </w14:textFill>
              </w:rPr>
              <w:t xml:space="preserve">20分</w:t>
            </w:r>
            <w:r/>
          </w:p>
        </w:tc>
        <w:tc>
          <w:tcPr>
            <w:tcW w:w="825" w:type="dxa"/>
            <w:vAlign w:val="center"/>
            <w:textDirection w:val="lrTb"/>
            <w:noWrap/>
          </w:tcPr>
          <w:p>
            <w:pPr>
              <w:jc w:val="center"/>
              <w:rPr>
                <w:rFonts w:ascii="宋体" w:hAnsi="宋体"/>
                <w:sz w:val="24"/>
                <w:szCs w:val="24"/>
              </w:rPr>
            </w:pPr>
            <w:r>
              <w:rPr>
                <w:rFonts w:hint="eastAsia" w:ascii="宋体" w:hAnsi="宋体" w:cs="宋体"/>
                <w:sz w:val="24"/>
                <w:szCs w:val="24"/>
              </w:rPr>
              <w:t xml:space="preserve">1</w:t>
            </w:r>
            <w:r/>
          </w:p>
        </w:tc>
        <w:tc>
          <w:tcPr>
            <w:tcW w:w="1365" w:type="dxa"/>
            <w:vAlign w:val="center"/>
            <w:textDirection w:val="lrTb"/>
            <w:noWrap/>
          </w:tcPr>
          <w:p>
            <w:pPr>
              <w:jc w:val="center"/>
              <w:rPr>
                <w:rFonts w:ascii="宋体" w:hAnsi="宋体"/>
                <w:sz w:val="24"/>
                <w:szCs w:val="24"/>
              </w:rPr>
            </w:pPr>
            <w:r>
              <w:rPr>
                <w:rFonts w:hint="eastAsia"/>
                <w:sz w:val="24"/>
                <w:szCs w:val="24"/>
              </w:rPr>
              <w:t xml:space="preserve">企业综合实力</w:t>
            </w:r>
            <w:r/>
          </w:p>
        </w:tc>
        <w:tc>
          <w:tcPr>
            <w:tcW w:w="780" w:type="dxa"/>
            <w:vAlign w:val="center"/>
            <w:textDirection w:val="lrTb"/>
            <w:noWrap/>
          </w:tcPr>
          <w:p>
            <w:pPr>
              <w:jc w:val="center"/>
              <w:rPr>
                <w:rFonts w:ascii="宋体" w:hAnsi="宋体"/>
                <w:sz w:val="24"/>
                <w:szCs w:val="24"/>
              </w:rPr>
            </w:pPr>
            <w:r>
              <w:rPr>
                <w:rFonts w:hint="eastAsia" w:ascii="宋体" w:hAnsi="宋体" w:cs="宋体"/>
                <w:sz w:val="24"/>
                <w:szCs w:val="24"/>
              </w:rPr>
              <w:t xml:space="preserve">6</w:t>
            </w:r>
            <w:r/>
          </w:p>
        </w:tc>
        <w:tc>
          <w:tcPr>
            <w:tcW w:w="6555" w:type="dxa"/>
            <w:vAlign w:val="center"/>
            <w:textDirection w:val="lrTb"/>
            <w:noWrap/>
          </w:tcPr>
          <w:p>
            <w:pPr>
              <w:numPr>
                <w:ilvl w:val="0"/>
                <w:numId w:val="7"/>
              </w:numPr>
              <w:rPr>
                <w:rFonts w:ascii="宋体" w:hAnsi="宋体"/>
                <w:sz w:val="24"/>
                <w:szCs w:val="24"/>
                <w:highlight w:val="none"/>
              </w:rPr>
            </w:pPr>
            <w:r>
              <w:rPr>
                <w:rFonts w:hint="eastAsia" w:ascii="宋体" w:hAnsi="宋体"/>
                <w:sz w:val="24"/>
                <w:szCs w:val="24"/>
                <w:highlight w:val="none"/>
              </w:rPr>
              <w:t xml:space="preserve">供应商具有有效期内的CCRC信息安全服务资质认证证书得2分。</w:t>
            </w:r>
            <w:r/>
          </w:p>
          <w:p>
            <w:pPr>
              <w:numPr>
                <w:ilvl w:val="0"/>
                <w:numId w:val="7"/>
              </w:numPr>
              <w:rPr>
                <w:rFonts w:ascii="宋体" w:hAnsi="宋体"/>
                <w:sz w:val="24"/>
                <w:szCs w:val="24"/>
                <w:highlight w:val="none"/>
              </w:rPr>
            </w:pPr>
            <w:r>
              <w:rPr>
                <w:rFonts w:hint="eastAsia" w:ascii="宋体" w:hAnsi="宋体"/>
                <w:sz w:val="24"/>
                <w:szCs w:val="24"/>
                <w:highlight w:val="none"/>
              </w:rPr>
              <w:t xml:space="preserve">供应商具有有效期内的个人数据隐私保护管理体系认证证书得2分。</w:t>
            </w:r>
            <w:r/>
          </w:p>
          <w:p>
            <w:pPr>
              <w:numPr>
                <w:ilvl w:val="0"/>
                <w:numId w:val="7"/>
              </w:numPr>
              <w:rPr>
                <w:rFonts w:ascii="宋体" w:hAnsi="宋体"/>
                <w:sz w:val="24"/>
                <w:szCs w:val="24"/>
                <w:highlight w:val="none"/>
              </w:rPr>
            </w:pPr>
            <w:r>
              <w:rPr>
                <w:rFonts w:hint="eastAsia" w:ascii="宋体" w:hAnsi="宋体"/>
                <w:sz w:val="24"/>
                <w:szCs w:val="24"/>
                <w:highlight w:val="none"/>
              </w:rPr>
              <w:t xml:space="preserve">供应商具有有效期内的ITSS信息技术服务标准认证证书得2分。</w:t>
            </w:r>
            <w:r/>
          </w:p>
          <w:p>
            <w:pPr>
              <w:rPr>
                <w:rFonts w:ascii="宋体" w:hAnsi="宋体"/>
                <w:sz w:val="24"/>
                <w:szCs w:val="24"/>
              </w:rPr>
            </w:pPr>
            <w:r>
              <w:rPr>
                <w:rFonts w:hint="eastAsia" w:ascii="宋体" w:hAnsi="宋体"/>
                <w:b/>
                <w:bCs/>
                <w:sz w:val="24"/>
                <w:szCs w:val="24"/>
                <w:highlight w:val="none"/>
              </w:rPr>
              <w:t xml:space="preserve">注：报价时提供证书</w:t>
            </w:r>
            <w:r>
              <w:rPr>
                <w:rFonts w:hint="eastAsia" w:ascii="宋体" w:hAnsi="宋体" w:cs="宋体"/>
                <w:b/>
                <w:bCs/>
                <w:sz w:val="24"/>
                <w:szCs w:val="24"/>
                <w:highlight w:val="none"/>
                <w:lang w:val="en-US" w:eastAsia="zh-CN"/>
              </w:rPr>
              <w:t xml:space="preserve">相关证明材料扫描件并电子签章，未提供不得分。</w:t>
            </w:r>
            <w:r/>
          </w:p>
        </w:tc>
      </w:tr>
      <w:tr>
        <w:trPr>
          <w:jc w:val="center"/>
          <w:trHeight w:val="2011"/>
        </w:trPr>
        <w:tc>
          <w:tcPr>
            <w:tcW w:w="957" w:type="dxa"/>
            <w:vAlign w:val="center"/>
            <w:vMerge w:val="continue"/>
            <w:textDirection w:val="lrTb"/>
            <w:noWrap/>
          </w:tcPr>
          <w:p>
            <w:pPr>
              <w:jc w:val="center"/>
              <w:rPr>
                <w:rFonts w:ascii="宋体" w:hAnsi="宋体"/>
                <w:sz w:val="24"/>
                <w:szCs w:val="24"/>
              </w:rPr>
            </w:pPr>
            <w:r>
              <w:rPr>
                <w:rFonts w:ascii="宋体" w:hAnsi="宋体"/>
                <w:sz w:val="24"/>
                <w:szCs w:val="24"/>
              </w:rPr>
            </w:r>
            <w:r/>
          </w:p>
        </w:tc>
        <w:tc>
          <w:tcPr>
            <w:tcW w:w="825"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2</w:t>
            </w:r>
            <w:r/>
          </w:p>
        </w:tc>
        <w:tc>
          <w:tcPr>
            <w:tcW w:w="1365" w:type="dxa"/>
            <w:vAlign w:val="center"/>
            <w:textDirection w:val="lrTb"/>
            <w:noWrap/>
          </w:tcPr>
          <w:p>
            <w:pPr>
              <w:jc w:val="center"/>
              <w:tabs>
                <w:tab w:val="left" w:pos="577" w:leader="none"/>
              </w:tabs>
              <w:rPr>
                <w:rFonts w:ascii="宋体" w:hAnsi="宋体"/>
                <w:sz w:val="24"/>
                <w:szCs w:val="24"/>
              </w:rPr>
            </w:pPr>
            <w:r>
              <w:rPr>
                <w:rFonts w:hint="eastAsia" w:ascii="宋体" w:hAnsi="宋体"/>
                <w:sz w:val="24"/>
                <w:szCs w:val="24"/>
              </w:rPr>
              <w:t xml:space="preserve">项目组</w:t>
            </w:r>
            <w:r/>
          </w:p>
          <w:p>
            <w:pPr>
              <w:jc w:val="center"/>
              <w:tabs>
                <w:tab w:val="left" w:pos="577" w:leader="none"/>
              </w:tabs>
              <w:rPr>
                <w:sz w:val="24"/>
                <w:szCs w:val="24"/>
              </w:rPr>
            </w:pPr>
            <w:r>
              <w:rPr>
                <w:rFonts w:hint="eastAsia" w:ascii="宋体" w:hAnsi="宋体"/>
                <w:sz w:val="24"/>
                <w:szCs w:val="24"/>
              </w:rPr>
              <w:t xml:space="preserve">人员要求</w:t>
            </w:r>
            <w:r/>
          </w:p>
        </w:tc>
        <w:tc>
          <w:tcPr>
            <w:tcW w:w="780" w:type="dxa"/>
            <w:vAlign w:val="center"/>
            <w:textDirection w:val="lrTb"/>
            <w:noWrap/>
          </w:tcPr>
          <w:p>
            <w:pPr>
              <w:jc w:val="center"/>
              <w:rPr>
                <w:rFonts w:ascii="宋体" w:hAnsi="宋体" w:cs="宋体"/>
                <w:sz w:val="24"/>
                <w:szCs w:val="24"/>
              </w:rPr>
            </w:pPr>
            <w:r>
              <w:rPr>
                <w:rFonts w:hint="eastAsia" w:ascii="宋体" w:hAnsi="宋体"/>
                <w:sz w:val="24"/>
                <w:szCs w:val="24"/>
              </w:rPr>
              <w:t xml:space="preserve">10</w:t>
            </w:r>
            <w:r/>
          </w:p>
        </w:tc>
        <w:tc>
          <w:tcPr>
            <w:tcW w:w="6555" w:type="dxa"/>
            <w:vAlign w:val="center"/>
            <w:textDirection w:val="lrTb"/>
            <w:noWrap/>
          </w:tcPr>
          <w:p>
            <w:pPr>
              <w:rPr>
                <w:rFonts w:ascii="宋体" w:hAnsi="宋体"/>
                <w:b/>
                <w:sz w:val="24"/>
                <w:szCs w:val="24"/>
              </w:rPr>
            </w:pPr>
            <w:r>
              <w:rPr>
                <w:rFonts w:hint="eastAsia" w:ascii="宋体" w:hAnsi="宋体"/>
                <w:b/>
                <w:sz w:val="24"/>
                <w:szCs w:val="24"/>
              </w:rPr>
              <w:t xml:space="preserve">1、项目负责人（2分）</w:t>
            </w:r>
            <w:r/>
          </w:p>
          <w:p>
            <w:pPr>
              <w:rPr>
                <w:rFonts w:ascii="宋体" w:hAnsi="宋体"/>
                <w:sz w:val="24"/>
                <w:szCs w:val="24"/>
              </w:rPr>
            </w:pPr>
            <w:r>
              <w:rPr>
                <w:rFonts w:hint="eastAsia" w:ascii="宋体" w:hAnsi="宋体"/>
                <w:sz w:val="24"/>
                <w:szCs w:val="24"/>
              </w:rPr>
              <w:t xml:space="preserve">供应商配备的项目负责人具有信息系统项目管理师证书、电子信息工程证书的，每提供一项证书的得1分，最多得2分。</w:t>
            </w:r>
            <w:r/>
          </w:p>
          <w:p>
            <w:pPr>
              <w:rPr>
                <w:rFonts w:ascii="宋体" w:hAnsi="宋体"/>
                <w:sz w:val="24"/>
                <w:szCs w:val="24"/>
              </w:rPr>
            </w:pPr>
            <w:r>
              <w:rPr>
                <w:rFonts w:hint="eastAsia" w:ascii="宋体" w:hAnsi="宋体"/>
                <w:b/>
                <w:bCs/>
                <w:sz w:val="24"/>
                <w:szCs w:val="24"/>
              </w:rPr>
              <w:t xml:space="preserve">2、项目经理（2分</w:t>
            </w:r>
            <w:r>
              <w:rPr>
                <w:rFonts w:hint="eastAsia" w:ascii="宋体" w:hAnsi="宋体"/>
                <w:sz w:val="24"/>
                <w:szCs w:val="24"/>
              </w:rPr>
              <w:t xml:space="preserve">）</w:t>
            </w:r>
            <w:r/>
          </w:p>
          <w:p>
            <w:pPr>
              <w:rPr>
                <w:rFonts w:ascii="宋体" w:hAnsi="宋体"/>
                <w:sz w:val="24"/>
                <w:szCs w:val="24"/>
              </w:rPr>
            </w:pPr>
            <w:r>
              <w:rPr>
                <w:rFonts w:hint="eastAsia" w:ascii="宋体" w:hAnsi="宋体"/>
                <w:sz w:val="24"/>
                <w:szCs w:val="24"/>
              </w:rPr>
              <w:t xml:space="preserve">供应商配备的项目经理具有信息系统项目管理师证书、具有ITSS服务项目经理证书的，每提供一项证书的得1分，最多得2分。</w:t>
            </w:r>
            <w:r/>
          </w:p>
          <w:p>
            <w:pPr>
              <w:rPr>
                <w:rFonts w:ascii="宋体" w:hAnsi="宋体"/>
                <w:b/>
                <w:sz w:val="24"/>
                <w:szCs w:val="24"/>
              </w:rPr>
            </w:pPr>
            <w:r>
              <w:rPr>
                <w:rFonts w:hint="eastAsia" w:ascii="宋体" w:hAnsi="宋体"/>
                <w:b/>
                <w:sz w:val="24"/>
                <w:szCs w:val="24"/>
              </w:rPr>
              <w:t xml:space="preserve">3、项目安全管理员（2分）</w:t>
            </w:r>
            <w:r/>
          </w:p>
          <w:p>
            <w:pPr>
              <w:rPr>
                <w:rFonts w:ascii="宋体" w:hAnsi="宋体"/>
                <w:sz w:val="24"/>
                <w:szCs w:val="24"/>
              </w:rPr>
            </w:pPr>
            <w:r>
              <w:rPr>
                <w:rFonts w:hint="eastAsia" w:ascii="宋体" w:hAnsi="宋体"/>
                <w:sz w:val="24"/>
                <w:szCs w:val="24"/>
              </w:rPr>
              <w:t xml:space="preserve">供应商配备的项目安全管理员具有具有国家信息安全（NISP）认证证书、系统架构设计师证书的，每提供一项证书的得1分，最多得2分。</w:t>
            </w:r>
            <w:r/>
          </w:p>
          <w:p>
            <w:pPr>
              <w:rPr>
                <w:rFonts w:ascii="宋体" w:hAnsi="宋体"/>
                <w:b/>
                <w:sz w:val="24"/>
                <w:szCs w:val="24"/>
              </w:rPr>
            </w:pPr>
            <w:r>
              <w:rPr>
                <w:rFonts w:hint="eastAsia" w:ascii="宋体" w:hAnsi="宋体"/>
                <w:b/>
                <w:sz w:val="24"/>
                <w:szCs w:val="24"/>
              </w:rPr>
              <w:t xml:space="preserve">4、其他项目组成员（除项目负责人、项目经理、项目安全管理员外）（4分）</w:t>
            </w:r>
            <w:r/>
          </w:p>
          <w:p>
            <w:pPr>
              <w:rPr>
                <w:rFonts w:ascii="宋体" w:hAnsi="宋体"/>
                <w:sz w:val="24"/>
                <w:szCs w:val="24"/>
              </w:rPr>
            </w:pPr>
            <w:r>
              <w:rPr>
                <w:rFonts w:hint="eastAsia" w:ascii="宋体" w:hAnsi="宋体"/>
                <w:sz w:val="24"/>
                <w:szCs w:val="24"/>
              </w:rPr>
              <w:t xml:space="preserve">供应商配备的其他项目组成员具有的</w:t>
            </w:r>
            <w:r>
              <w:rPr>
                <w:rFonts w:ascii="宋体" w:hAnsi="宋体"/>
                <w:sz w:val="24"/>
                <w:szCs w:val="24"/>
              </w:rPr>
              <w:t xml:space="preserve">ITSS</w:t>
            </w:r>
            <w:r>
              <w:rPr>
                <w:rFonts w:hint="eastAsia" w:ascii="宋体" w:hAnsi="宋体"/>
                <w:sz w:val="24"/>
                <w:szCs w:val="24"/>
              </w:rPr>
              <w:t xml:space="preserve">服务工程师、电子信息工程师证书的，每提供一项证书的得1分，最多得4分。</w:t>
            </w:r>
            <w:r/>
          </w:p>
          <w:p>
            <w:pPr>
              <w:rPr>
                <w:rFonts w:hint="eastAsia" w:ascii="宋体" w:hAnsi="宋体" w:eastAsia="宋体"/>
                <w:sz w:val="24"/>
                <w:szCs w:val="24"/>
                <w:lang w:val="en-US" w:eastAsia="zh-CN"/>
              </w:rPr>
            </w:pPr>
            <w:r>
              <w:rPr>
                <w:rFonts w:hint="eastAsia" w:ascii="宋体" w:hAnsi="宋体" w:cs="宋体"/>
                <w:b/>
                <w:bCs/>
                <w:color w:val="000000" w:themeColor="text1"/>
                <w:sz w:val="24"/>
                <w:szCs w:val="24"/>
                <w:highlight w:val="none"/>
                <w:lang w:val="zh-CN"/>
                <w14:textFill>
                  <w14:solidFill>
                    <w14:schemeClr w14:val="tx1"/>
                  </w14:solidFill>
                </w14:textFill>
              </w:rPr>
              <w:t xml:space="preserve">注：报价时提供证书和供应商为其缴纳的近六月（不含开标当月）中任意连续三个月的社保证明材料扫描件并电子签章</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,未提供不得分。</w:t>
            </w:r>
            <w:r/>
          </w:p>
        </w:tc>
      </w:tr>
      <w:tr>
        <w:trPr>
          <w:jc w:val="center"/>
          <w:trHeight w:val="1234"/>
        </w:trPr>
        <w:tc>
          <w:tcPr>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3</w:t>
            </w:r>
            <w:r/>
          </w:p>
        </w:tc>
        <w:tc>
          <w:tcPr>
            <w:tcW w:w="1365" w:type="dxa"/>
            <w:vAlign w:val="center"/>
            <w:textDirection w:val="lrTb"/>
            <w:noWrap/>
          </w:tcPr>
          <w:p>
            <w:pPr>
              <w:jc w:val="center"/>
              <w:rPr>
                <w:rFonts w:ascii="宋体" w:hAnsi="宋体"/>
                <w:sz w:val="24"/>
                <w:szCs w:val="24"/>
              </w:rPr>
            </w:pPr>
            <w:r>
              <w:rPr>
                <w:rFonts w:hint="eastAsia" w:ascii="宋体" w:hAnsi="宋体"/>
                <w:sz w:val="24"/>
                <w:szCs w:val="24"/>
                <w:lang w:val="zh-CN"/>
              </w:rPr>
              <w:t xml:space="preserve">项目案例</w:t>
            </w:r>
            <w:r/>
          </w:p>
        </w:tc>
        <w:tc>
          <w:tcPr>
            <w:tcW w:w="780" w:type="dxa"/>
            <w:vAlign w:val="center"/>
            <w:textDirection w:val="lrTb"/>
            <w:noWrap/>
          </w:tcPr>
          <w:p>
            <w:pPr>
              <w:jc w:val="center"/>
              <w:rPr>
                <w:rFonts w:ascii="宋体" w:hAnsi="宋体"/>
                <w:sz w:val="24"/>
                <w:szCs w:val="24"/>
              </w:rPr>
            </w:pPr>
            <w:r>
              <w:rPr>
                <w:rFonts w:hint="eastAsia" w:ascii="宋体" w:hAnsi="宋体"/>
                <w:sz w:val="24"/>
                <w:szCs w:val="24"/>
              </w:rPr>
              <w:t xml:space="preserve">2</w:t>
            </w:r>
            <w:r/>
          </w:p>
        </w:tc>
        <w:tc>
          <w:tcPr>
            <w:tcW w:w="6555" w:type="dxa"/>
            <w:vAlign w:val="center"/>
            <w:textDirection w:val="lrTb"/>
            <w:noWrap/>
          </w:tcPr>
          <w:p>
            <w:pPr>
              <w:rPr>
                <w:rFonts w:ascii="宋体" w:hAnsi="宋体" w:cs="宋体"/>
                <w:sz w:val="24"/>
                <w:szCs w:val="24"/>
                <w:highlight w:val="none"/>
                <w:lang w:val="zh-CN"/>
              </w:rPr>
            </w:pPr>
            <w:r>
              <w:rPr>
                <w:rFonts w:hint="eastAsia" w:ascii="宋体" w:hAnsi="宋体" w:cs="宋体"/>
                <w:sz w:val="24"/>
                <w:szCs w:val="24"/>
                <w:highlight w:val="none"/>
                <w:lang w:val="zh-CN"/>
              </w:rPr>
              <w:t xml:space="preserve">自202</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年1月</w:t>
            </w:r>
            <w:r>
              <w:rPr>
                <w:rFonts w:hint="eastAsia" w:ascii="宋体" w:hAnsi="宋体" w:cs="宋体"/>
                <w:sz w:val="24"/>
                <w:szCs w:val="24"/>
                <w:highlight w:val="none"/>
                <w:lang w:val="en-US" w:eastAsia="zh-CN"/>
              </w:rPr>
              <w:t xml:space="preserve">1日</w:t>
            </w:r>
            <w:r>
              <w:rPr>
                <w:rFonts w:hint="eastAsia" w:ascii="宋体" w:hAnsi="宋体" w:cs="宋体"/>
                <w:sz w:val="24"/>
                <w:szCs w:val="24"/>
                <w:highlight w:val="none"/>
                <w:lang w:val="zh-CN"/>
              </w:rPr>
              <w:t xml:space="preserve">以来（</w:t>
            </w:r>
            <w:r>
              <w:rPr>
                <w:rFonts w:hint="eastAsia" w:ascii="宋体" w:hAnsi="宋体" w:cs="宋体"/>
                <w:sz w:val="24"/>
                <w:szCs w:val="24"/>
                <w:highlight w:val="none"/>
                <w:lang w:val="en-US" w:eastAsia="zh-CN"/>
              </w:rPr>
              <w:t xml:space="preserve">以合同签订时间为准</w:t>
            </w:r>
            <w:r>
              <w:rPr>
                <w:rFonts w:hint="eastAsia" w:ascii="宋体" w:hAnsi="宋体" w:cs="宋体"/>
                <w:sz w:val="24"/>
                <w:szCs w:val="24"/>
                <w:highlight w:val="none"/>
                <w:lang w:val="zh-CN"/>
              </w:rPr>
              <w:t xml:space="preserve">），供应商承担过</w:t>
            </w:r>
            <w:r>
              <w:rPr>
                <w:rFonts w:hint="eastAsia" w:ascii="宋体" w:hAnsi="宋体" w:cs="宋体"/>
                <w:sz w:val="24"/>
                <w:szCs w:val="24"/>
                <w:highlight w:val="none"/>
              </w:rPr>
              <w:t xml:space="preserve">类似</w:t>
            </w:r>
            <w:r>
              <w:rPr>
                <w:rFonts w:hint="eastAsia" w:ascii="宋体" w:hAnsi="宋体" w:cs="宋体"/>
                <w:sz w:val="24"/>
                <w:szCs w:val="24"/>
                <w:highlight w:val="none"/>
                <w:lang w:val="zh-CN"/>
              </w:rPr>
              <w:t xml:space="preserve">档案数字化服务业绩的</w:t>
            </w:r>
            <w:r>
              <w:rPr>
                <w:rFonts w:hint="eastAsia" w:ascii="宋体" w:hAnsi="宋体" w:cs="宋体"/>
                <w:sz w:val="24"/>
                <w:szCs w:val="24"/>
                <w:highlight w:val="none"/>
              </w:rPr>
              <w:t xml:space="preserve">得2分，最高得2分</w:t>
            </w:r>
            <w:r>
              <w:rPr>
                <w:rFonts w:hint="eastAsia" w:ascii="宋体" w:hAnsi="宋体" w:cs="宋体"/>
                <w:sz w:val="24"/>
                <w:szCs w:val="24"/>
                <w:highlight w:val="none"/>
                <w:lang w:val="zh-CN"/>
              </w:rPr>
              <w:t xml:space="preserve">。</w:t>
            </w:r>
            <w:r/>
          </w:p>
          <w:p>
            <w:pPr>
              <w:rPr>
                <w:rFonts w:ascii="宋体" w:hAnsi="宋体"/>
                <w:sz w:val="24"/>
                <w:szCs w:val="24"/>
              </w:rPr>
            </w:pPr>
            <w:r>
              <w:rPr>
                <w:rFonts w:hint="eastAsia" w:ascii="宋体" w:hAnsi="宋体" w:cs="宋体"/>
                <w:b/>
                <w:bCs/>
                <w:sz w:val="24"/>
                <w:szCs w:val="24"/>
                <w:highlight w:val="none"/>
                <w:lang w:val="zh-CN"/>
              </w:rPr>
              <w:t xml:space="preserve">注：报价时提供</w:t>
            </w:r>
            <w:r>
              <w:rPr>
                <w:rFonts w:hint="eastAsia" w:ascii="宋体" w:hAnsi="宋体" w:cs="宋体"/>
                <w:b/>
                <w:bCs/>
                <w:sz w:val="24"/>
                <w:szCs w:val="24"/>
                <w:highlight w:val="none"/>
              </w:rPr>
              <w:t xml:space="preserve">中标通知书或</w:t>
            </w:r>
            <w:r>
              <w:rPr>
                <w:rFonts w:hint="eastAsia" w:ascii="宋体" w:hAnsi="宋体" w:cs="宋体"/>
                <w:b/>
                <w:bCs/>
                <w:sz w:val="24"/>
                <w:szCs w:val="24"/>
                <w:highlight w:val="none"/>
                <w:lang w:val="zh-CN"/>
              </w:rPr>
              <w:t xml:space="preserve">合同</w:t>
            </w:r>
            <w:r>
              <w:rPr>
                <w:rFonts w:hint="eastAsia" w:ascii="宋体" w:hAnsi="宋体" w:cs="宋体"/>
                <w:b/>
                <w:bCs/>
                <w:sz w:val="24"/>
                <w:szCs w:val="24"/>
                <w:highlight w:val="none"/>
                <w:lang w:val="en-US" w:eastAsia="zh-CN"/>
              </w:rPr>
              <w:t xml:space="preserve">相关证明材料扫描件并电子签章，未提供不得分。</w:t>
            </w:r>
            <w:r/>
          </w:p>
        </w:tc>
      </w:tr>
      <w:tr>
        <w:trPr>
          <w:jc w:val="center"/>
          <w:trHeight w:val="775"/>
        </w:trPr>
        <w:tc>
          <w:tcPr>
            <w:tcW w:w="9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tcW w:w="825"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4</w:t>
            </w:r>
            <w:r/>
          </w:p>
        </w:tc>
        <w:tc>
          <w:tcPr>
            <w:tcW w:w="1365" w:type="dxa"/>
            <w:vAlign w:val="center"/>
            <w:textDirection w:val="lrTb"/>
            <w:noWrap/>
          </w:tcPr>
          <w:p>
            <w:pPr>
              <w:jc w:val="center"/>
              <w:rPr>
                <w:rFonts w:ascii="宋体" w:hAnsi="宋体"/>
                <w:sz w:val="24"/>
                <w:szCs w:val="24"/>
                <w:lang w:val="zh-CN"/>
              </w:rPr>
            </w:pPr>
            <w:r>
              <w:rPr>
                <w:rFonts w:hint="eastAsia" w:ascii="宋体" w:hAnsi="宋体"/>
                <w:sz w:val="24"/>
                <w:szCs w:val="24"/>
                <w:lang w:val="zh-CN"/>
              </w:rPr>
              <w:t xml:space="preserve">服务承诺</w:t>
            </w:r>
            <w:r/>
          </w:p>
        </w:tc>
        <w:tc>
          <w:tcPr>
            <w:tcW w:w="780" w:type="dxa"/>
            <w:vAlign w:val="center"/>
            <w:textDirection w:val="lrTb"/>
            <w:noWrap/>
          </w:tcPr>
          <w:p>
            <w:pPr>
              <w:jc w:val="center"/>
              <w:rPr>
                <w:rFonts w:ascii="宋体" w:hAnsi="宋体"/>
                <w:sz w:val="24"/>
                <w:szCs w:val="24"/>
              </w:rPr>
            </w:pPr>
            <w:r>
              <w:rPr>
                <w:rFonts w:hint="eastAsia" w:ascii="宋体" w:hAnsi="宋体"/>
                <w:sz w:val="24"/>
                <w:szCs w:val="24"/>
              </w:rPr>
              <w:t xml:space="preserve">2</w:t>
            </w:r>
            <w:r/>
          </w:p>
        </w:tc>
        <w:tc>
          <w:tcPr>
            <w:tcW w:w="6555" w:type="dxa"/>
            <w:vAlign w:val="center"/>
            <w:textDirection w:val="lrTb"/>
            <w:noWrap/>
          </w:tcPr>
          <w:p>
            <w:pPr>
              <w:rPr>
                <w:rFonts w:ascii="宋体" w:hAnsi="宋体" w:cs="宋体"/>
                <w:sz w:val="24"/>
                <w:szCs w:val="24"/>
                <w:lang w:val="zh-CN"/>
              </w:rPr>
            </w:pPr>
            <w:r>
              <w:rPr>
                <w:rFonts w:hint="eastAsia" w:ascii="宋体" w:hAnsi="宋体" w:cs="宋体"/>
                <w:sz w:val="24"/>
                <w:szCs w:val="24"/>
                <w:highlight w:val="none"/>
                <w:lang w:val="zh-CN"/>
              </w:rPr>
              <w:t xml:space="preserve">供应商承诺服务期间提供不少于</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val="zh-CN"/>
              </w:rPr>
              <w:t xml:space="preserve">名驻场人员。</w:t>
            </w:r>
            <w:r>
              <w:rPr>
                <w:rFonts w:hint="eastAsia" w:ascii="宋体" w:hAnsi="宋体" w:cs="宋体"/>
                <w:b/>
                <w:bCs/>
                <w:sz w:val="24"/>
                <w:szCs w:val="24"/>
                <w:highlight w:val="none"/>
                <w:lang w:val="zh-CN"/>
              </w:rPr>
              <w:t xml:space="preserve">响应文件中提供承诺函并电子签章，无承诺函不得分。</w:t>
            </w:r>
            <w:r/>
          </w:p>
        </w:tc>
      </w:tr>
    </w:tbl>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2、价格部分</w:t>
      </w:r>
      <w:r/>
    </w:p>
    <w:tbl>
      <w:tblPr>
        <w:tblStyle w:val="690"/>
        <w:tblW w:w="10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762"/>
        <w:gridCol w:w="1155"/>
        <w:gridCol w:w="6570"/>
      </w:tblGrid>
      <w:tr>
        <w:trPr>
          <w:cantSplit/>
          <w:jc w:val="center"/>
          <w:trHeight w:val="451"/>
        </w:trPr>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right w:val="single" w:color="auto" w:sz="4" w:space="0"/>
            </w:tcBorders>
            <w:tcW w:w="176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评审项目</w:t>
            </w:r>
            <w:r/>
          </w:p>
        </w:tc>
        <w:tc>
          <w:tcPr>
            <w:tcBorders>
              <w:top w:val="single" w:color="auto" w:sz="4" w:space="0"/>
              <w:left w:val="single" w:color="auto" w:sz="4" w:space="0"/>
              <w:right w:val="single" w:color="auto" w:sz="4" w:space="0"/>
            </w:tcBorders>
            <w:tcW w:w="1155"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657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评审细则</w:t>
            </w:r>
            <w:r/>
          </w:p>
        </w:tc>
      </w:tr>
      <w:tr>
        <w:trPr>
          <w:cantSplit/>
          <w:jc w:val="center"/>
          <w:trHeight w:val="1131"/>
        </w:trPr>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right w:val="single" w:color="auto" w:sz="4" w:space="0"/>
            </w:tcBorders>
            <w:tcW w:w="176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价格部分</w:t>
            </w:r>
            <w:r/>
          </w:p>
        </w:tc>
        <w:tc>
          <w:tcPr>
            <w:tcBorders>
              <w:top w:val="single" w:color="auto" w:sz="4" w:space="0"/>
              <w:left w:val="single" w:color="auto" w:sz="4" w:space="0"/>
              <w:right w:val="single" w:color="auto" w:sz="4" w:space="0"/>
            </w:tcBorders>
            <w:tcW w:w="1155"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20分</w:t>
            </w:r>
            <w:r/>
          </w:p>
        </w:tc>
        <w:tc>
          <w:tcPr>
            <w:tcBorders>
              <w:top w:val="single" w:color="auto" w:sz="4" w:space="0"/>
              <w:left w:val="single" w:color="auto" w:sz="4" w:space="0"/>
              <w:bottom w:val="single" w:color="auto" w:sz="4" w:space="0"/>
              <w:right w:val="single" w:color="auto" w:sz="4" w:space="0"/>
            </w:tcBorders>
            <w:tcW w:w="6570" w:type="dxa"/>
            <w:vAlign w:val="center"/>
            <w:textDirection w:val="lrTb"/>
            <w:noWrap/>
          </w:tcPr>
          <w:p>
            <w:pPr>
              <w:jc w:val="left"/>
              <w:rPr>
                <w:rFonts w:ascii="宋体" w:hAnsi="宋体" w:cs="宋体"/>
                <w:sz w:val="24"/>
                <w:szCs w:val="24"/>
              </w:rPr>
            </w:pPr>
            <w:r>
              <w:rPr>
                <w:rFonts w:hint="eastAsia" w:ascii="宋体" w:hAnsi="宋体" w:cs="宋体"/>
                <w:sz w:val="24"/>
                <w:szCs w:val="24"/>
              </w:rPr>
              <w:t xml:space="preserve">采用低价优先法计算，即满足采购文件要求且投标价格最低的报价为评标基准价，其价格分为满分。其他报价人的价格分统一按照下列公式计算：投标报价得分=（评标基准价/投标报价）×20分。（以四舍五入法，保留两位小数）</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spacing w:line="276" w:lineRule="auto"/>
        <w:rPr>
          <w:rFonts w:ascii="宋体"/>
          <w:b/>
          <w:bCs/>
          <w:color w:val="auto"/>
          <w:sz w:val="24"/>
          <w:szCs w:val="24"/>
          <w:highlight w:val="none"/>
        </w:rPr>
      </w:pPr>
      <w:r>
        <w:rPr>
          <w:rFonts w:hint="eastAsia" w:ascii="宋体"/>
          <w:b/>
          <w:bCs/>
          <w:color w:val="auto"/>
          <w:sz w:val="24"/>
          <w:szCs w:val="24"/>
          <w:highlight w:val="none"/>
        </w:rPr>
        <w:t xml:space="preserve">备注：</w:t>
      </w:r>
      <w:bookmarkEnd w:id="74"/>
      <w:r/>
      <w:r/>
    </w:p>
    <w:p>
      <w:pPr>
        <w:jc w:val="left"/>
        <w:spacing w:line="360" w:lineRule="auto"/>
        <w:widowControl/>
        <w:rPr>
          <w:rFonts w:hint="eastAsia" w:ascii="宋体" w:hAnsi="宋体" w:eastAsia="宋体" w:cs="Times New Roman"/>
          <w:color w:val="auto"/>
          <w:sz w:val="24"/>
          <w:szCs w:val="24"/>
          <w:highlight w:val="none"/>
        </w:rPr>
      </w:pPr>
      <w:r/>
      <w:bookmarkStart w:id="87" w:name="_Toc27627"/>
      <w:r/>
      <w:bookmarkStart w:id="88" w:name="_Toc526779129"/>
      <w:r/>
      <w:bookmarkStart w:id="89" w:name="_Toc56599577"/>
      <w:r/>
      <w:bookmarkStart w:id="90" w:name="_Toc56600393"/>
      <w:r/>
      <w:bookmarkStart w:id="91" w:name="_Toc3082"/>
      <w:r>
        <w:rPr>
          <w:rFonts w:hint="eastAsia" w:ascii="宋体" w:hAnsi="宋体" w:eastAsia="宋体" w:cs="Times New Roman"/>
          <w:color w:val="auto"/>
          <w:sz w:val="24"/>
          <w:szCs w:val="24"/>
          <w:highlight w:val="none"/>
        </w:rPr>
        <w:t xml:space="preserve">1、评分过程中如出现小数点后三位，采用四舍五入法，最终保留两位小数；</w:t>
      </w:r>
      <w:r/>
    </w:p>
    <w:p>
      <w:pPr>
        <w:jc w:val="left"/>
        <w:spacing w:line="360" w:lineRule="auto"/>
        <w:widowControl/>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2、响应文件中必须提供以上相关有效证明材料扫描件</w:t>
      </w:r>
      <w:r>
        <w:rPr>
          <w:rFonts w:hint="eastAsia" w:ascii="宋体" w:hAnsi="宋体" w:cs="Times New Roman"/>
          <w:b/>
          <w:bCs/>
          <w:color w:val="auto"/>
          <w:sz w:val="24"/>
          <w:szCs w:val="24"/>
          <w:highlight w:val="none"/>
          <w:lang w:val="en-US" w:eastAsia="zh-CN"/>
        </w:rPr>
        <w:t xml:space="preserve">并电子签章</w:t>
      </w:r>
      <w:r>
        <w:rPr>
          <w:rFonts w:hint="eastAsia" w:ascii="宋体" w:hAnsi="宋体" w:eastAsia="宋体" w:cs="Times New Roman"/>
          <w:b/>
          <w:bCs/>
          <w:color w:val="auto"/>
          <w:sz w:val="24"/>
          <w:szCs w:val="24"/>
          <w:highlight w:val="none"/>
        </w:rPr>
        <w:t xml:space="preserve">，否则相关评分项不得分。</w:t>
      </w:r>
      <w:r/>
    </w:p>
    <w:p>
      <w:pPr>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3、所有提供的证明材料必须保证清晰，内容模糊无法确认的后果由</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自负。</w:t>
      </w:r>
      <w:r/>
    </w:p>
    <w:p>
      <w:pPr>
        <w:jc w:val="left"/>
        <w:spacing w:line="360" w:lineRule="auto"/>
        <w:tabs>
          <w:tab w:val="left" w:pos="425" w:leader="none"/>
        </w:tabs>
        <w:rPr>
          <w:rFonts w:ascii="宋体" w:hAnsi="宋体" w:cs="宋体"/>
          <w:b/>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s="宋体"/>
          <w:b/>
          <w:color w:val="auto"/>
          <w:sz w:val="24"/>
          <w:szCs w:val="24"/>
          <w:highlight w:val="none"/>
        </w:rPr>
        <w:t xml:space="preserve">、政府采购评审中出现下列情形之一的，评审委员会将启动异常低价投标审查程序：</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①投标</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报价低于</w:t>
      </w:r>
      <w:r>
        <w:rPr>
          <w:rFonts w:hint="eastAsia" w:ascii="宋体" w:hAnsi="宋体" w:cs="宋体"/>
          <w:bCs/>
          <w:color w:val="auto"/>
          <w:sz w:val="24"/>
          <w:szCs w:val="24"/>
          <w:highlight w:val="none"/>
          <w:lang w:val="en-US" w:eastAsia="zh-CN"/>
        </w:rPr>
        <w:t xml:space="preserve">采购项目预算</w:t>
      </w:r>
      <w:r>
        <w:rPr>
          <w:rFonts w:ascii="宋体" w:hAnsi="宋体" w:cs="宋体"/>
          <w:bCs/>
          <w:color w:val="auto"/>
          <w:sz w:val="24"/>
          <w:szCs w:val="24"/>
          <w:highlight w:val="none"/>
        </w:rPr>
        <w:t xml:space="preserve">50%</w:t>
      </w:r>
      <w:r>
        <w:rPr>
          <w:rFonts w:hint="eastAsia" w:ascii="宋体" w:hAnsi="宋体" w:cs="宋体"/>
          <w:bCs/>
          <w:color w:val="auto"/>
          <w:sz w:val="24"/>
          <w:szCs w:val="24"/>
          <w:highlight w:val="none"/>
        </w:rPr>
        <w:t xml:space="preserve">的，即投标</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en-US" w:eastAsia="zh-CN"/>
        </w:rPr>
        <w:t xml:space="preserve">＜采购项目预算</w:t>
      </w: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50%</w:t>
      </w:r>
      <w:r>
        <w:rPr>
          <w:rFonts w:hint="eastAsia" w:ascii="宋体" w:hAnsi="宋体" w:cs="宋体"/>
          <w:bCs/>
          <w:color w:val="auto"/>
          <w:sz w:val="24"/>
          <w:szCs w:val="24"/>
          <w:highlight w:val="none"/>
        </w:rPr>
        <w:t xml:space="preserve">；</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②投标</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报价低于采购项目最高限价</w:t>
      </w:r>
      <w:r>
        <w:rPr>
          <w:rFonts w:ascii="宋体" w:hAnsi="宋体" w:cs="宋体"/>
          <w:bCs/>
          <w:color w:val="auto"/>
          <w:sz w:val="24"/>
          <w:szCs w:val="24"/>
          <w:highlight w:val="none"/>
        </w:rPr>
        <w:t xml:space="preserve">45%</w:t>
      </w:r>
      <w:r>
        <w:rPr>
          <w:rFonts w:hint="eastAsia" w:ascii="宋体" w:hAnsi="宋体" w:cs="宋体"/>
          <w:bCs/>
          <w:color w:val="auto"/>
          <w:sz w:val="24"/>
          <w:szCs w:val="24"/>
          <w:highlight w:val="none"/>
        </w:rPr>
        <w:t xml:space="preserve">的，即投标</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采购项目最高限价×</w:t>
      </w:r>
      <w:r>
        <w:rPr>
          <w:rFonts w:ascii="宋体" w:hAnsi="宋体" w:cs="宋体"/>
          <w:bCs/>
          <w:color w:val="auto"/>
          <w:sz w:val="24"/>
          <w:szCs w:val="24"/>
          <w:highlight w:val="none"/>
        </w:rPr>
        <w:t xml:space="preserve">45%</w:t>
      </w:r>
      <w:r>
        <w:rPr>
          <w:rFonts w:hint="eastAsia" w:ascii="宋体" w:hAnsi="宋体" w:cs="宋体"/>
          <w:bCs/>
          <w:color w:val="auto"/>
          <w:sz w:val="24"/>
          <w:szCs w:val="24"/>
          <w:highlight w:val="none"/>
        </w:rPr>
        <w:t xml:space="preserve">；</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③评审委员会认</w:t>
      </w:r>
      <w:r>
        <w:rPr>
          <w:rFonts w:hint="eastAsia" w:ascii="宋体" w:hAnsi="宋体" w:cs="宋体"/>
          <w:bCs/>
          <w:color w:val="auto"/>
          <w:sz w:val="24"/>
          <w:szCs w:val="24"/>
          <w:highlight w:val="none"/>
          <w:lang w:val="en-US" w:eastAsia="zh-CN"/>
        </w:rPr>
        <w:t xml:space="preserve">定的</w:t>
      </w:r>
      <w:r>
        <w:rPr>
          <w:rFonts w:hint="eastAsia" w:ascii="宋体" w:hAnsi="宋体" w:cs="宋体"/>
          <w:bCs/>
          <w:color w:val="auto"/>
          <w:sz w:val="24"/>
          <w:szCs w:val="24"/>
          <w:highlight w:val="none"/>
        </w:rPr>
        <w:t xml:space="preserve">供应商报价过低，有可能影响产品质量或者不能诚信履约的其他情形。</w:t>
      </w:r>
      <w:r/>
    </w:p>
    <w:p>
      <w:pPr>
        <w:ind w:firstLine="480"/>
        <w:jc w:val="left"/>
        <w:spacing w:line="360" w:lineRule="auto"/>
        <w:rPr>
          <w:rFonts w:hint="default" w:ascii="Times New Roman" w:hAnsi="Times New Roman" w:eastAsia="宋体" w:cs="Times New Roman"/>
          <w:color w:val="auto"/>
          <w:sz w:val="24"/>
          <w:szCs w:val="24"/>
          <w:highlight w:val="none"/>
          <w:lang w:val="en-US" w:eastAsia="zh-CN"/>
        </w:rPr>
      </w:pPr>
      <w:r>
        <w:rPr>
          <w:rFonts w:hint="eastAsia" w:ascii="宋体" w:hAnsi="宋体" w:cs="宋体"/>
          <w:bCs/>
          <w:color w:val="auto"/>
          <w:sz w:val="24"/>
          <w:szCs w:val="24"/>
          <w:highlight w:val="none"/>
        </w:rPr>
        <w:t xml:space="preserve">评审委员会启动异常低价投标审查后，将要求相关供应商在评审现场合理的时间内提供书面说明及必要的证明材料，对投标价格作出解释。书面说明、证明材料主要是项目具体成本测算等与报价合理性相关的说明、材料。审查相关情况在评审报告中予以记录。</w:t>
      </w:r>
      <w:r/>
    </w:p>
    <w:p>
      <w:pPr>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left"/>
        <w:spacing w:line="440" w:lineRule="exact"/>
        <w:widowControl/>
        <w:rPr>
          <w:rFonts w:hint="eastAsia" w:ascii="宋体" w:hAnsi="宋体"/>
          <w:color w:val="auto"/>
          <w:sz w:val="24"/>
          <w:szCs w:val="24"/>
          <w:highlight w:val="none"/>
        </w:rPr>
      </w:pPr>
      <w:r>
        <w:rPr>
          <w:rFonts w:ascii="黑体" w:eastAsia="黑体"/>
          <w:color w:val="auto"/>
          <w:sz w:val="28"/>
          <w:highlight w:val="none"/>
        </w:rPr>
        <w:br w:type="page" w:clear="all"/>
      </w:r>
      <w:r/>
    </w:p>
    <w:p>
      <w:pPr>
        <w:jc w:val="center"/>
        <w:rPr>
          <w:rFonts w:ascii="黑体" w:eastAsia="黑体"/>
          <w:color w:val="auto"/>
          <w:sz w:val="28"/>
          <w:highlight w:val="none"/>
        </w:rPr>
        <w:outlineLvl w:val="0"/>
      </w:pPr>
      <w:r/>
      <w:bookmarkStart w:id="92" w:name="_Toc184189855"/>
      <w:r>
        <w:rPr>
          <w:rFonts w:hint="eastAsia" w:ascii="黑体" w:eastAsia="黑体"/>
          <w:color w:val="auto"/>
          <w:sz w:val="28"/>
          <w:highlight w:val="none"/>
        </w:rPr>
        <w:t xml:space="preserve">第五章 政府采购合同（格式）</w:t>
      </w:r>
      <w:bookmarkEnd w:id="87"/>
      <w:r/>
      <w:bookmarkEnd w:id="88"/>
      <w:r/>
      <w:bookmarkEnd w:id="89"/>
      <w:r/>
      <w:bookmarkEnd w:id="90"/>
      <w:r/>
      <w:bookmarkEnd w:id="92"/>
      <w:r/>
      <w:r/>
    </w:p>
    <w:p>
      <w:pPr>
        <w:pStyle w:val="913"/>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13"/>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13"/>
        <w:ind w:firstLine="0"/>
        <w:jc w:val="center"/>
        <w:rPr>
          <w:rFonts w:hint="eastAsia" w:hAnsi="宋体" w:cs="宋体"/>
          <w:b/>
          <w:color w:val="auto"/>
          <w:szCs w:val="24"/>
          <w:highlight w:val="none"/>
        </w:rPr>
      </w:pPr>
      <w:r>
        <w:rPr>
          <w:rFonts w:hint="eastAsia" w:hAnsi="宋体" w:cs="宋体"/>
          <w:b/>
          <w:color w:val="auto"/>
          <w:szCs w:val="24"/>
          <w:highlight w:val="none"/>
        </w:rPr>
      </w:r>
      <w:r/>
    </w:p>
    <w:p>
      <w:pPr>
        <w:pStyle w:val="913"/>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913"/>
        <w:ind w:firstLine="0"/>
        <w:rPr>
          <w:rFonts w:hint="eastAsia" w:hAnsi="宋体" w:cs="宋体"/>
          <w:color w:val="auto"/>
          <w:szCs w:val="24"/>
          <w:highlight w:val="none"/>
        </w:rPr>
      </w:pPr>
      <w:r>
        <w:rPr>
          <w:rFonts w:hint="eastAsia" w:hAnsi="宋体" w:cs="宋体"/>
          <w:color w:val="auto"/>
          <w:szCs w:val="24"/>
          <w:highlight w:val="none"/>
        </w:rPr>
      </w:r>
      <w:r/>
    </w:p>
    <w:p>
      <w:pPr>
        <w:pStyle w:val="913"/>
        <w:ind w:firstLine="0"/>
        <w:rPr>
          <w:rFonts w:hint="eastAsia" w:hAnsi="宋体" w:cs="宋体"/>
          <w:color w:val="auto"/>
          <w:szCs w:val="24"/>
          <w:highlight w:val="none"/>
        </w:rPr>
      </w:pPr>
      <w:r>
        <w:rPr>
          <w:rFonts w:hint="eastAsia" w:hAnsi="宋体" w:cs="宋体"/>
          <w:color w:val="auto"/>
          <w:szCs w:val="24"/>
          <w:highlight w:val="none"/>
        </w:rPr>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firstLine="48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rPr>
          <w:rFonts w:hint="eastAsia" w:eastAsia="宋体"/>
          <w:color w:val="auto"/>
          <w:highlight w:val="none"/>
          <w:lang w:val="en-US" w:eastAsia="zh-CN"/>
        </w:rPr>
      </w:pPr>
      <w:r>
        <w:rPr>
          <w:rFonts w:hint="eastAsia"/>
          <w:color w:val="auto"/>
          <w:highlight w:val="none"/>
          <w:lang w:val="en-US" w:eastAsia="zh-CN"/>
        </w:rPr>
        <w:t xml:space="preserve"> </w:t>
      </w:r>
      <w:r/>
    </w:p>
    <w:p>
      <w:pPr>
        <w:pStyle w:val="907"/>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w:t>
      </w:r>
      <w:r>
        <w:rPr>
          <w:rFonts w:ascii="宋体" w:hAnsi="宋体" w:eastAsia="宋体" w:cs="宋体"/>
          <w:bCs/>
          <w:color w:val="auto"/>
          <w:highlight w:val="none"/>
        </w:rPr>
        <w:t xml:space="preserve">    </w:t>
      </w:r>
      <w:r>
        <w:rPr>
          <w:rFonts w:hint="eastAsia" w:ascii="宋体" w:hAnsi="宋体" w:eastAsia="宋体" w:cs="宋体"/>
          <w:bCs/>
          <w:color w:val="auto"/>
          <w:highlight w:val="none"/>
        </w:rPr>
        <w:t xml:space="preserve">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firstLine="48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spacing w:line="22" w:lineRule="atLeas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p>
    <w:p>
      <w:pPr>
        <w:ind w:left="960" w:firstLine="48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144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p>
    <w:p>
      <w:pPr>
        <w:ind w:firstLine="480"/>
        <w:spacing w:line="560" w:lineRule="exact"/>
        <w:rPr>
          <w:rFonts w:hint="eastAsia" w:ascii="宋体" w:hAnsi="宋体" w:cs="宋体"/>
          <w:color w:val="auto"/>
          <w:sz w:val="24"/>
          <w:szCs w:val="24"/>
          <w:highlight w:val="none"/>
        </w:rPr>
      </w:pPr>
      <w:r>
        <w:rPr>
          <w:rFonts w:ascii="宋体" w:hAnsi="宋体" w:cs="宋体"/>
          <w:color w:val="auto"/>
          <w:sz w:val="24"/>
          <w:highlight w:val="none"/>
          <w:u w:val="single"/>
          <w:lang w:val="zh-CN"/>
        </w:rPr>
        <w:br w:type="page" w:clear="all"/>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宜兴市自然资源和规划局</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竞争性磋商采购方式</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宜兴市自然资源和规划局档案数字化服务项目</w:t>
      </w:r>
      <w:r>
        <w:rPr>
          <w:rFonts w:hint="eastAsia" w:ascii="宋体" w:hAnsi="宋体" w:cs="宋体"/>
          <w:color w:val="auto"/>
          <w:sz w:val="24"/>
          <w:highlight w:val="none"/>
        </w:rPr>
        <w:t xml:space="preserve">进行了采购。经磋商小组评审，</w:t>
      </w:r>
      <w:r>
        <w:rPr>
          <w:rFonts w:hint="eastAsia" w:ascii="宋体" w:hAnsi="宋体" w:cs="宋体"/>
          <w:color w:val="auto"/>
          <w:sz w:val="24"/>
          <w:highlight w:val="none"/>
          <w:u w:val="single"/>
          <w:lang w:eastAsia="zh-CN"/>
        </w:rPr>
        <w:t xml:space="preserve">宜兴市自然资源和规划局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（成交供应商名称）</w:t>
      </w:r>
      <w:r>
        <w:rPr>
          <w:rFonts w:hint="eastAsia" w:ascii="宋体" w:hAnsi="宋体" w:cs="宋体"/>
          <w:color w:val="auto"/>
          <w:sz w:val="24"/>
          <w:highlight w:val="none"/>
        </w:rPr>
        <w:t xml:space="preserve">为该项目成交供应商。现于成交通知书发出之日起三十日内，按照采购文件确定的事项签订本合同。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宜兴市自然资源和规划局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（成交供应商名称）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hint="eastAsia" w:ascii="宋体" w:hAnsi="宋体" w:cs="宋体"/>
          <w:color w:val="auto"/>
          <w:sz w:val="24"/>
          <w:szCs w:val="24"/>
          <w:highlight w:val="none"/>
        </w:rPr>
      </w:pPr>
      <w:r/>
      <w:bookmarkStart w:id="93" w:name="_Toc15367"/>
      <w:r/>
      <w:bookmarkStart w:id="94" w:name="_Toc19273"/>
      <w:r/>
      <w:bookmarkStart w:id="95" w:name="_Toc28855"/>
      <w:r/>
      <w:bookmarkStart w:id="96" w:name="_Toc20421"/>
      <w:r/>
      <w:bookmarkStart w:id="97" w:name="_Toc22967"/>
      <w:r>
        <w:rPr>
          <w:rFonts w:hint="eastAsia" w:ascii="宋体" w:hAnsi="宋体" w:cs="宋体"/>
          <w:b/>
          <w:color w:val="auto"/>
          <w:sz w:val="24"/>
          <w:szCs w:val="24"/>
          <w:highlight w:val="none"/>
        </w:rPr>
        <w:t xml:space="preserve">1.1 合同组成部分</w:t>
      </w:r>
      <w:bookmarkEnd w:id="93"/>
      <w:r/>
      <w:bookmarkEnd w:id="94"/>
      <w:r/>
      <w:bookmarkEnd w:id="95"/>
      <w:r/>
      <w:bookmarkEnd w:id="96"/>
      <w:r/>
      <w:bookmarkEnd w:id="97"/>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成交通知书；</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响应文件（含澄清或者说明文件）；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磋商文件（含澄清或者修改文件）；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hint="eastAsia" w:ascii="宋体" w:hAnsi="宋体" w:cs="宋体"/>
          <w:b/>
          <w:color w:val="auto"/>
          <w:sz w:val="24"/>
          <w:szCs w:val="24"/>
          <w:highlight w:val="none"/>
        </w:rPr>
      </w:pPr>
      <w:r/>
      <w:bookmarkStart w:id="98" w:name="_Toc6773"/>
      <w:r/>
      <w:bookmarkStart w:id="99" w:name="_Toc2918"/>
      <w:r/>
      <w:bookmarkStart w:id="100" w:name="_Toc22185"/>
      <w:r/>
      <w:bookmarkStart w:id="101" w:name="_Toc6311"/>
      <w:r/>
      <w:bookmarkStart w:id="102" w:name="_Toc18585"/>
      <w:r>
        <w:rPr>
          <w:rFonts w:hint="eastAsia" w:ascii="宋体" w:hAnsi="宋体" w:cs="宋体"/>
          <w:b/>
          <w:color w:val="auto"/>
          <w:sz w:val="24"/>
          <w:szCs w:val="24"/>
          <w:highlight w:val="none"/>
        </w:rPr>
        <w:t xml:space="preserve">1.2 标的</w:t>
      </w:r>
      <w:bookmarkEnd w:id="98"/>
      <w:r/>
      <w:bookmarkEnd w:id="99"/>
      <w:r/>
      <w:bookmarkEnd w:id="100"/>
      <w:r/>
      <w:bookmarkEnd w:id="101"/>
      <w:r/>
      <w:bookmarkEnd w:id="102"/>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 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1.2.2 项目数量：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项目质量：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03" w:name="_Toc21124"/>
      <w:r/>
      <w:bookmarkStart w:id="104" w:name="_Toc1386"/>
      <w:r/>
      <w:bookmarkStart w:id="105" w:name="_Toc5635"/>
      <w:r/>
      <w:bookmarkStart w:id="106" w:name="_Toc4929"/>
      <w:r/>
      <w:bookmarkStart w:id="107" w:name="_Toc13918"/>
      <w:r>
        <w:rPr>
          <w:rFonts w:hint="eastAsia" w:ascii="宋体" w:hAnsi="宋体" w:cs="宋体"/>
          <w:b/>
          <w:color w:val="auto"/>
          <w:sz w:val="24"/>
          <w:szCs w:val="24"/>
          <w:highlight w:val="none"/>
        </w:rPr>
        <w:t xml:space="preserve">1.3 价款</w:t>
      </w:r>
      <w:bookmarkEnd w:id="103"/>
      <w:r/>
      <w:bookmarkEnd w:id="104"/>
      <w:r/>
      <w:bookmarkEnd w:id="105"/>
      <w:r/>
      <w:bookmarkEnd w:id="106"/>
      <w:r/>
      <w:bookmarkEnd w:id="107"/>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元人民币）。</w:t>
      </w:r>
      <w:bookmarkStart w:id="108" w:name="_Toc30158"/>
      <w:r/>
      <w:bookmarkStart w:id="109" w:name="_Toc14993"/>
      <w:r/>
      <w:bookmarkStart w:id="110" w:name="_Toc26916"/>
      <w:r/>
      <w:bookmarkStart w:id="111" w:name="_Toc3654"/>
      <w:r/>
      <w:bookmarkStart w:id="112" w:name="_Toc30506"/>
      <w:r/>
      <w:r/>
    </w:p>
    <w:p>
      <w:pPr>
        <w:ind w:firstLine="480"/>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1.4 付款方式和发票开具方式</w:t>
      </w:r>
      <w:bookmarkEnd w:id="108"/>
      <w:r/>
      <w:bookmarkEnd w:id="109"/>
      <w:r/>
      <w:bookmarkEnd w:id="110"/>
      <w:r/>
      <w:bookmarkEnd w:id="111"/>
      <w:r/>
      <w:bookmarkEnd w:id="11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13" w:name="_Toc11108"/>
      <w:r/>
      <w:bookmarkStart w:id="114" w:name="_Toc4760"/>
      <w:r/>
      <w:bookmarkStart w:id="115" w:name="_Toc31421"/>
      <w:r/>
      <w:bookmarkStart w:id="116" w:name="_Toc8772"/>
      <w:r/>
      <w:bookmarkStart w:id="117" w:name="_Toc3625"/>
      <w:r>
        <w:rPr>
          <w:rFonts w:hint="eastAsia" w:ascii="宋体" w:hAnsi="宋体" w:cs="宋体"/>
          <w:b/>
          <w:color w:val="auto"/>
          <w:sz w:val="24"/>
          <w:szCs w:val="24"/>
          <w:highlight w:val="none"/>
        </w:rPr>
        <w:t xml:space="preserve">1.5 履行期限、地点和方式</w:t>
      </w:r>
      <w:bookmarkEnd w:id="113"/>
      <w:r/>
      <w:bookmarkEnd w:id="114"/>
      <w:r/>
      <w:bookmarkEnd w:id="115"/>
      <w:r/>
      <w:bookmarkEnd w:id="116"/>
      <w:r/>
      <w:bookmarkEnd w:id="117"/>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color w:val="auto"/>
          <w:sz w:val="24"/>
          <w:szCs w:val="24"/>
          <w:highlight w:val="none"/>
          <w:u w:val="single"/>
        </w:rPr>
      </w:pPr>
      <w:r/>
      <w:bookmarkStart w:id="118" w:name="_Toc2375"/>
      <w:r/>
      <w:bookmarkStart w:id="119" w:name="_Toc5698"/>
      <w:r/>
      <w:bookmarkStart w:id="120" w:name="_Toc24662"/>
      <w:r/>
      <w:bookmarkStart w:id="121" w:name="_Toc8586"/>
      <w:r/>
      <w:bookmarkStart w:id="122" w:name="_Toc3079"/>
      <w:r>
        <w:rPr>
          <w:rFonts w:hint="eastAsia" w:ascii="宋体" w:hAnsi="宋体" w:cs="宋体"/>
          <w:b/>
          <w:color w:val="auto"/>
          <w:sz w:val="24"/>
          <w:szCs w:val="24"/>
          <w:highlight w:val="none"/>
        </w:rPr>
        <w:t xml:space="preserve">1.6 违约责任</w:t>
      </w:r>
      <w:bookmarkEnd w:id="118"/>
      <w:r/>
      <w:bookmarkEnd w:id="119"/>
      <w:r/>
      <w:bookmarkEnd w:id="120"/>
      <w:r/>
      <w:bookmarkEnd w:id="121"/>
      <w:r/>
      <w:bookmarkEnd w:id="12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spacing w:line="560" w:lineRule="exact"/>
        <w:rPr>
          <w:rFonts w:hint="eastAsia" w:ascii="宋体" w:hAnsi="宋体" w:cs="宋体"/>
          <w:b/>
          <w:color w:val="auto"/>
          <w:sz w:val="24"/>
          <w:szCs w:val="24"/>
          <w:highlight w:val="none"/>
        </w:rPr>
      </w:pPr>
      <w:r/>
      <w:bookmarkStart w:id="123" w:name="_Toc32454"/>
      <w:r/>
      <w:bookmarkStart w:id="124" w:name="_Toc9497"/>
      <w:r/>
      <w:bookmarkStart w:id="125" w:name="_Toc26807"/>
      <w:r/>
      <w:bookmarkStart w:id="126" w:name="_Toc30329"/>
      <w:r/>
      <w:bookmarkStart w:id="127" w:name="_Toc18683"/>
      <w:r>
        <w:rPr>
          <w:rFonts w:hint="eastAsia" w:ascii="宋体" w:hAnsi="宋体" w:cs="宋体"/>
          <w:b/>
          <w:color w:val="auto"/>
          <w:sz w:val="24"/>
          <w:szCs w:val="24"/>
          <w:highlight w:val="none"/>
        </w:rPr>
        <w:t xml:space="preserve">1.7 合同争议的解决</w:t>
      </w:r>
      <w:bookmarkEnd w:id="123"/>
      <w:r/>
      <w:bookmarkEnd w:id="124"/>
      <w:r/>
      <w:bookmarkEnd w:id="125"/>
      <w:r/>
      <w:bookmarkEnd w:id="126"/>
      <w:r/>
      <w:bookmarkEnd w:id="127"/>
      <w:r/>
      <w:r/>
    </w:p>
    <w:p>
      <w:pPr>
        <w:ind w:firstLine="480"/>
        <w:spacing w:line="560" w:lineRule="exact"/>
        <w:rPr>
          <w:rFonts w:hint="eastAsia" w:ascii="宋体" w:hAnsi="宋体" w:cs="宋体"/>
          <w:color w:val="auto"/>
          <w:sz w:val="24"/>
          <w:szCs w:val="24"/>
          <w:highlight w:val="none"/>
        </w:rPr>
      </w:pPr>
      <w:r/>
      <w:bookmarkStart w:id="128" w:name="_Toc12273"/>
      <w:r/>
      <w:bookmarkStart w:id="129" w:name="_Toc16417"/>
      <w:r/>
      <w:bookmarkStart w:id="130" w:name="_Toc15827"/>
      <w:r/>
      <w:bookmarkStart w:id="131" w:name="_Toc26227"/>
      <w:r/>
      <w:bookmarkStart w:id="132" w:name="_Toc23784"/>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28"/>
      <w:r/>
      <w:bookmarkEnd w:id="129"/>
      <w:r/>
      <w:bookmarkEnd w:id="130"/>
      <w:r/>
      <w:bookmarkEnd w:id="131"/>
      <w:r/>
      <w:bookmarkEnd w:id="132"/>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w:t>
      </w:r>
      <w:r/>
    </w:p>
    <w:p>
      <w:pPr>
        <w:ind w:firstLine="48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1265"/>
        <w:spacing w:line="560" w:lineRule="exact"/>
        <w:rPr>
          <w:rFonts w:hint="eastAsia"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hint="eastAsia" w:ascii="宋体" w:hAnsi="宋体" w:cs="宋体"/>
          <w:b/>
          <w:color w:val="auto"/>
          <w:sz w:val="24"/>
          <w:szCs w:val="24"/>
          <w:highlight w:val="none"/>
        </w:rPr>
      </w:pPr>
      <w:r/>
      <w:bookmarkStart w:id="133" w:name="_Toc331685783"/>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3614"/>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hAnsi="宋体" w:cs="宋体"/>
          <w:b/>
          <w:color w:val="auto"/>
          <w:szCs w:val="24"/>
          <w:highlight w:val="none"/>
        </w:rPr>
        <w:t xml:space="preserve">第二部分 合同一般条款</w:t>
      </w:r>
      <w:bookmarkEnd w:id="133"/>
      <w:r/>
      <w:r/>
    </w:p>
    <w:p>
      <w:pPr>
        <w:ind w:firstLine="482"/>
        <w:spacing w:line="560" w:lineRule="exact"/>
        <w:rPr>
          <w:rFonts w:hint="eastAsia" w:ascii="宋体" w:hAnsi="宋体" w:cs="宋体"/>
          <w:b/>
          <w:color w:val="auto"/>
          <w:sz w:val="24"/>
          <w:szCs w:val="24"/>
          <w:highlight w:val="none"/>
        </w:rPr>
      </w:pPr>
      <w:r/>
      <w:bookmarkStart w:id="134" w:name="_Ref467379094"/>
      <w:r/>
      <w:bookmarkStart w:id="135" w:name="_Toc25079"/>
      <w:r/>
      <w:bookmarkStart w:id="136" w:name="_Ref467379214"/>
      <w:r/>
      <w:bookmarkStart w:id="137" w:name="_Toc259093669"/>
      <w:r/>
      <w:bookmarkStart w:id="138" w:name="_Ref467379101"/>
      <w:r/>
      <w:bookmarkStart w:id="139" w:name="_Toc5228"/>
      <w:r/>
      <w:bookmarkStart w:id="140" w:name="_Ref467378463"/>
      <w:r/>
      <w:bookmarkStart w:id="141" w:name="_Ref467379225"/>
      <w:r/>
      <w:bookmarkStart w:id="142" w:name="_Toc279701240"/>
      <w:r/>
      <w:bookmarkStart w:id="143" w:name="_Toc19680"/>
      <w:r/>
      <w:bookmarkStart w:id="144" w:name="_Ref467378404"/>
      <w:r/>
      <w:bookmarkStart w:id="145" w:name="_Ref467379195"/>
      <w:r/>
      <w:bookmarkStart w:id="146" w:name="_Toc487900349"/>
      <w:r/>
      <w:bookmarkStart w:id="147" w:name="_Toc14021"/>
      <w:r/>
      <w:bookmarkStart w:id="148" w:name="_Toc31297"/>
      <w:r/>
      <w:bookmarkStart w:id="149" w:name="_Ref467378499"/>
      <w:r/>
      <w:bookmarkStart w:id="150" w:name="_Ref467379109"/>
      <w:r/>
      <w:bookmarkStart w:id="151" w:name="_Ref467379205"/>
      <w:r>
        <w:rPr>
          <w:rFonts w:hint="eastAsia" w:ascii="宋体" w:hAnsi="宋体" w:cs="宋体"/>
          <w:b/>
          <w:color w:val="auto"/>
          <w:sz w:val="24"/>
          <w:szCs w:val="24"/>
          <w:highlight w:val="none"/>
        </w:rPr>
        <w:t xml:space="preserve">2.1 定义</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“合同”系指采购人和成交供应商签订的载明双方当事人所达成的协议，并包括所有的附件、附录和构成合同的其他文件。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“合同价”系指根据合同约定，成交供应商在完全履行合同义务后，采购人应支付给成交供应商的价格。</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“服务”系指成交供应商根据合同约定应向采购人履行的除货物和工程以外的其他政府采购对象，包括采购人自身需要的服务和向社会公众提供的公共服务。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color w:val="auto"/>
          <w:sz w:val="24"/>
          <w:szCs w:val="24"/>
          <w:highlight w:val="none"/>
        </w:rPr>
      </w:pPr>
      <w:r/>
      <w:bookmarkStart w:id="152" w:name="_Ref467378840"/>
      <w:r>
        <w:rPr>
          <w:rFonts w:hint="eastAsia" w:ascii="宋体" w:hAnsi="宋体" w:cs="宋体"/>
          <w:color w:val="auto"/>
          <w:sz w:val="24"/>
          <w:szCs w:val="24"/>
          <w:highlight w:val="none"/>
        </w:rPr>
        <w:t xml:space="preserve">2.1.4 “甲方”系指与成交供应商签署合同的采购人</w:t>
      </w:r>
      <w:bookmarkEnd w:id="152"/>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color w:val="auto"/>
          <w:sz w:val="24"/>
          <w:szCs w:val="24"/>
          <w:highlight w:val="none"/>
        </w:rPr>
      </w:pPr>
      <w:r/>
      <w:bookmarkStart w:id="153" w:name="_Ref467379400"/>
      <w:r>
        <w:rPr>
          <w:rFonts w:hint="eastAsia" w:ascii="宋体" w:hAnsi="宋体" w:cs="宋体"/>
          <w:color w:val="auto"/>
          <w:sz w:val="24"/>
          <w:szCs w:val="24"/>
          <w:highlight w:val="none"/>
        </w:rPr>
        <w:t xml:space="preserve">2.1.5 “乙方”系指根据合同约定提供服务的成交供应商</w:t>
      </w:r>
      <w:bookmarkEnd w:id="153"/>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szCs w:val="24"/>
          <w:highlight w:val="none"/>
        </w:rPr>
      </w:pPr>
      <w:r/>
      <w:bookmarkStart w:id="154" w:name="_Ref467379436"/>
      <w:r>
        <w:rPr>
          <w:rFonts w:hint="eastAsia" w:ascii="宋体" w:hAnsi="宋体" w:cs="宋体"/>
          <w:color w:val="auto"/>
          <w:sz w:val="24"/>
          <w:szCs w:val="24"/>
          <w:highlight w:val="none"/>
        </w:rPr>
        <w:t xml:space="preserve">2.1.6 “现场”系指合同约定提供服务的地点。</w:t>
      </w:r>
      <w:bookmarkEnd w:id="154"/>
      <w:r/>
      <w:r/>
    </w:p>
    <w:p>
      <w:pPr>
        <w:ind w:firstLine="482"/>
        <w:spacing w:line="560" w:lineRule="exact"/>
        <w:rPr>
          <w:rFonts w:hint="eastAsia" w:ascii="宋体" w:hAnsi="宋体" w:cs="宋体"/>
          <w:b/>
          <w:color w:val="auto"/>
          <w:sz w:val="24"/>
          <w:szCs w:val="24"/>
          <w:highlight w:val="none"/>
        </w:rPr>
      </w:pPr>
      <w:r/>
      <w:bookmarkStart w:id="155" w:name="_Toc19539"/>
      <w:r/>
      <w:bookmarkStart w:id="156" w:name="_Toc259093670"/>
      <w:r/>
      <w:bookmarkStart w:id="157" w:name="_Toc279701241"/>
      <w:r/>
      <w:bookmarkStart w:id="158" w:name="_Toc23289"/>
      <w:r/>
      <w:bookmarkStart w:id="159" w:name="_Toc16752"/>
      <w:r/>
      <w:bookmarkStart w:id="160" w:name="_Toc3769"/>
      <w:r/>
      <w:bookmarkStart w:id="161" w:name="_Toc31402"/>
      <w:r/>
      <w:bookmarkStart w:id="162" w:name="_Toc487900350"/>
      <w:r>
        <w:rPr>
          <w:rFonts w:hint="eastAsia" w:ascii="宋体" w:hAnsi="宋体" w:cs="宋体"/>
          <w:b/>
          <w:color w:val="auto"/>
          <w:sz w:val="24"/>
          <w:szCs w:val="24"/>
          <w:highlight w:val="none"/>
        </w:rPr>
        <w:t xml:space="preserve">2.2 技术规范</w:t>
      </w:r>
      <w:bookmarkEnd w:id="155"/>
      <w:r/>
      <w:bookmarkEnd w:id="156"/>
      <w:r/>
      <w:bookmarkEnd w:id="157"/>
      <w:r/>
      <w:bookmarkEnd w:id="158"/>
      <w:r/>
      <w:bookmarkEnd w:id="159"/>
      <w:r/>
      <w:bookmarkEnd w:id="160"/>
      <w:r/>
      <w:bookmarkEnd w:id="161"/>
      <w:r/>
      <w:bookmarkEnd w:id="16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磋商文件中没有技术规范的相应说明，那么应以国家有关部门最新颁布的相应标准和规范为准。</w:t>
      </w:r>
      <w:r/>
    </w:p>
    <w:p>
      <w:pPr>
        <w:ind w:firstLine="482"/>
        <w:spacing w:line="560" w:lineRule="exact"/>
        <w:rPr>
          <w:rFonts w:hint="eastAsia" w:ascii="宋体" w:hAnsi="宋体" w:cs="宋体"/>
          <w:b/>
          <w:color w:val="auto"/>
          <w:sz w:val="24"/>
          <w:szCs w:val="24"/>
          <w:highlight w:val="none"/>
        </w:rPr>
      </w:pPr>
      <w:r/>
      <w:bookmarkStart w:id="163" w:name="_Toc27945"/>
      <w:r/>
      <w:bookmarkStart w:id="164" w:name="_Toc13673"/>
      <w:r/>
      <w:bookmarkStart w:id="165" w:name="_Toc487900351"/>
      <w:r/>
      <w:bookmarkStart w:id="166" w:name="_Toc259093671"/>
      <w:r/>
      <w:bookmarkStart w:id="167" w:name="_Toc9161"/>
      <w:r/>
      <w:bookmarkStart w:id="168" w:name="_Toc4133"/>
      <w:r/>
      <w:bookmarkStart w:id="169" w:name="_Toc279701242"/>
      <w:r/>
      <w:bookmarkStart w:id="170" w:name="_Toc12412"/>
      <w:r>
        <w:rPr>
          <w:rFonts w:hint="eastAsia" w:ascii="宋体" w:hAnsi="宋体" w:cs="宋体"/>
          <w:b/>
          <w:color w:val="auto"/>
          <w:sz w:val="24"/>
          <w:szCs w:val="24"/>
          <w:highlight w:val="none"/>
        </w:rPr>
        <w:t xml:space="preserve">2.3 知识产权</w:t>
      </w:r>
      <w:bookmarkEnd w:id="163"/>
      <w:r/>
      <w:bookmarkEnd w:id="164"/>
      <w:r/>
      <w:bookmarkEnd w:id="165"/>
      <w:r/>
      <w:bookmarkEnd w:id="166"/>
      <w:r/>
      <w:bookmarkEnd w:id="167"/>
      <w:r/>
      <w:bookmarkEnd w:id="168"/>
      <w:r/>
      <w:bookmarkEnd w:id="169"/>
      <w:r/>
      <w:bookmarkEnd w:id="170"/>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hint="eastAsia" w:ascii="宋体" w:hAnsi="宋体" w:cs="宋体"/>
          <w:color w:val="auto"/>
          <w:sz w:val="24"/>
          <w:szCs w:val="24"/>
          <w:highlight w:val="none"/>
        </w:rPr>
      </w:pPr>
      <w:r/>
      <w:bookmarkStart w:id="171" w:name="_Ref467379657"/>
      <w:r>
        <w:rPr>
          <w:rFonts w:hint="eastAsia" w:ascii="宋体" w:hAnsi="宋体" w:cs="宋体"/>
          <w:color w:val="auto"/>
          <w:sz w:val="24"/>
          <w:szCs w:val="24"/>
          <w:highlight w:val="none"/>
        </w:rPr>
        <w:t xml:space="preserve">2.4.1</w:t>
      </w:r>
      <w:bookmarkEnd w:id="171"/>
      <w:r/>
      <w:bookmarkStart w:id="172" w:name="_Toc186431854"/>
      <w:r/>
      <w:bookmarkStart w:id="173" w:name="_Toc487900357"/>
      <w:r/>
      <w:bookmarkStart w:id="174" w:name="_Ref467379807"/>
      <w:r/>
      <w:bookmarkStart w:id="175" w:name="_Toc259093676"/>
      <w:r/>
      <w:bookmarkStart w:id="176" w:name="_Toc279701247"/>
      <w:r/>
      <w:bookmarkStart w:id="177" w:name="_Ref467379793"/>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72"/>
      <w:r/>
      <w:bookmarkStart w:id="178" w:name="_Toc186431855"/>
      <w:r>
        <w:rPr>
          <w:rFonts w:hint="eastAsia" w:ascii="宋体" w:hAnsi="宋体" w:cs="宋体"/>
          <w:color w:val="auto"/>
          <w:sz w:val="24"/>
          <w:szCs w:val="24"/>
          <w:highlight w:val="none"/>
        </w:rPr>
        <w:t xml:space="preserve">。</w:t>
      </w:r>
      <w:bookmarkEnd w:id="173"/>
      <w:r/>
      <w:bookmarkEnd w:id="174"/>
      <w:r/>
      <w:bookmarkEnd w:id="175"/>
      <w:r/>
      <w:bookmarkEnd w:id="176"/>
      <w:r/>
      <w:bookmarkEnd w:id="177"/>
      <w:r/>
      <w:bookmarkEnd w:id="178"/>
      <w:r/>
      <w:r/>
    </w:p>
    <w:p>
      <w:pPr>
        <w:ind w:firstLine="482"/>
        <w:spacing w:line="560" w:lineRule="exact"/>
        <w:rPr>
          <w:rFonts w:hint="eastAsia" w:ascii="宋体" w:hAnsi="宋体" w:cs="宋体"/>
          <w:b/>
          <w:color w:val="auto"/>
          <w:sz w:val="24"/>
          <w:szCs w:val="24"/>
          <w:highlight w:val="none"/>
        </w:rPr>
      </w:pPr>
      <w:r/>
      <w:bookmarkStart w:id="179" w:name="_Ref467379852"/>
      <w:r/>
      <w:bookmarkStart w:id="180" w:name="_Ref467379863"/>
      <w:r/>
      <w:bookmarkStart w:id="181" w:name="_Ref467379923"/>
      <w:r/>
      <w:bookmarkStart w:id="182" w:name="_Toc279701248"/>
      <w:r/>
      <w:bookmarkStart w:id="183" w:name="_Toc487900358"/>
      <w:r/>
      <w:bookmarkStart w:id="184" w:name="_Toc259093677"/>
      <w:r/>
      <w:bookmarkStart w:id="185" w:name="_Toc30507"/>
      <w:r/>
      <w:bookmarkStart w:id="186" w:name="_Toc18990"/>
      <w:r/>
      <w:bookmarkStart w:id="187" w:name="_Toc13154"/>
      <w:r/>
      <w:bookmarkStart w:id="188" w:name="_Toc16163"/>
      <w:r/>
      <w:bookmarkStart w:id="189" w:name="_Toc13467"/>
      <w:r>
        <w:rPr>
          <w:rFonts w:hint="eastAsia" w:ascii="宋体" w:hAnsi="宋体" w:cs="宋体"/>
          <w:b/>
          <w:color w:val="auto"/>
          <w:sz w:val="24"/>
          <w:szCs w:val="24"/>
          <w:highlight w:val="none"/>
        </w:rPr>
        <w:t xml:space="preserve">2.5 技术资料</w:t>
      </w:r>
      <w:bookmarkEnd w:id="179"/>
      <w:r/>
      <w:bookmarkEnd w:id="180"/>
      <w:r/>
      <w:bookmarkEnd w:id="181"/>
      <w:r/>
      <w:bookmarkEnd w:id="182"/>
      <w:r/>
      <w:bookmarkEnd w:id="183"/>
      <w:r/>
      <w:bookmarkEnd w:id="184"/>
      <w:r>
        <w:rPr>
          <w:rFonts w:hint="eastAsia" w:ascii="宋体" w:hAnsi="宋体" w:cs="宋体"/>
          <w:b/>
          <w:color w:val="auto"/>
          <w:sz w:val="24"/>
          <w:szCs w:val="24"/>
          <w:highlight w:val="none"/>
        </w:rPr>
        <w:t xml:space="preserve">和保密义务</w:t>
      </w:r>
      <w:bookmarkEnd w:id="185"/>
      <w:r/>
      <w:bookmarkEnd w:id="186"/>
      <w:r/>
      <w:bookmarkEnd w:id="187"/>
      <w:r/>
      <w:bookmarkEnd w:id="188"/>
      <w:r/>
      <w:bookmarkEnd w:id="18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color w:val="auto"/>
          <w:sz w:val="24"/>
          <w:szCs w:val="24"/>
          <w:highlight w:val="none"/>
        </w:rPr>
      </w:pPr>
      <w:r/>
      <w:bookmarkStart w:id="190" w:name="_Toc19069"/>
      <w:r/>
      <w:bookmarkStart w:id="191" w:name="_Toc279701252"/>
      <w:r/>
      <w:bookmarkStart w:id="192" w:name="_Toc259093681"/>
      <w:r/>
      <w:bookmarkStart w:id="193" w:name="_Toc487900362"/>
      <w:r>
        <w:rPr>
          <w:rFonts w:hint="eastAsia" w:ascii="宋体" w:hAnsi="宋体" w:cs="宋体"/>
          <w:b/>
          <w:color w:val="auto"/>
          <w:sz w:val="24"/>
          <w:szCs w:val="24"/>
          <w:highlight w:val="none"/>
        </w:rPr>
        <w:t xml:space="preserve">2.6 质量保证</w:t>
      </w:r>
      <w:bookmarkEnd w:id="190"/>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color w:val="auto"/>
          <w:sz w:val="24"/>
          <w:szCs w:val="24"/>
          <w:highlight w:val="none"/>
        </w:rPr>
      </w:pPr>
      <w:r/>
      <w:bookmarkStart w:id="194" w:name="_Toc22267"/>
      <w:r>
        <w:rPr>
          <w:rFonts w:hint="eastAsia" w:ascii="宋体" w:hAnsi="宋体" w:cs="宋体"/>
          <w:b/>
          <w:color w:val="auto"/>
          <w:sz w:val="24"/>
          <w:szCs w:val="24"/>
          <w:highlight w:val="none"/>
        </w:rPr>
        <w:t xml:space="preserve">2.7 延迟</w:t>
      </w:r>
      <w:bookmarkEnd w:id="191"/>
      <w:r/>
      <w:bookmarkEnd w:id="192"/>
      <w:r/>
      <w:bookmarkEnd w:id="193"/>
      <w:r>
        <w:rPr>
          <w:rFonts w:hint="eastAsia" w:ascii="宋体" w:hAnsi="宋体" w:cs="宋体"/>
          <w:b/>
          <w:color w:val="auto"/>
          <w:sz w:val="24"/>
          <w:szCs w:val="24"/>
          <w:highlight w:val="none"/>
        </w:rPr>
        <w:t xml:space="preserve">履行</w:t>
      </w:r>
      <w:bookmarkEnd w:id="19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color w:val="auto"/>
          <w:sz w:val="24"/>
          <w:szCs w:val="24"/>
          <w:highlight w:val="none"/>
        </w:rPr>
      </w:pPr>
      <w:r/>
      <w:bookmarkStart w:id="195" w:name="_Toc10611"/>
      <w:r/>
      <w:bookmarkStart w:id="196" w:name="_Toc279701254"/>
      <w:r/>
      <w:bookmarkStart w:id="197" w:name="_Toc487900364"/>
      <w:r/>
      <w:bookmarkStart w:id="198" w:name="_Toc259093683"/>
      <w:r/>
      <w:bookmarkStart w:id="199" w:name="_Ref467378121"/>
      <w:r>
        <w:rPr>
          <w:rFonts w:hint="eastAsia" w:ascii="宋体" w:hAnsi="宋体" w:cs="宋体"/>
          <w:b/>
          <w:color w:val="auto"/>
          <w:sz w:val="24"/>
          <w:szCs w:val="24"/>
          <w:highlight w:val="none"/>
        </w:rPr>
        <w:t xml:space="preserve">2.8 合同变更</w:t>
      </w:r>
      <w:bookmarkEnd w:id="195"/>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双方当事人协商一致，可以签订书面补充合同的形式变更合同，但不得违背磋商文件确定的事项，且如果系追加与合同标的相同的服务的，那么所有补充合同的采购金额不得超过原合同价的10%；</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00" w:name="_Toc259093688"/>
      <w:r/>
      <w:bookmarkStart w:id="201" w:name="_Toc487900369"/>
      <w:r/>
      <w:bookmarkStart w:id="202" w:name="_Toc279701259"/>
      <w:r/>
      <w:r/>
    </w:p>
    <w:p>
      <w:pPr>
        <w:ind w:firstLine="482"/>
        <w:spacing w:line="560" w:lineRule="exact"/>
        <w:rPr>
          <w:rFonts w:hint="eastAsia" w:ascii="宋体" w:hAnsi="宋体" w:cs="宋体"/>
          <w:b/>
          <w:color w:val="auto"/>
          <w:sz w:val="24"/>
          <w:szCs w:val="24"/>
          <w:highlight w:val="none"/>
        </w:rPr>
      </w:pPr>
      <w:r/>
      <w:bookmarkStart w:id="203" w:name="_Toc21830"/>
      <w:r/>
      <w:bookmarkStart w:id="204" w:name="_Toc42"/>
      <w:r/>
      <w:bookmarkStart w:id="205" w:name="_Toc23368"/>
      <w:r/>
      <w:bookmarkStart w:id="206" w:name="_Toc10663"/>
      <w:r/>
      <w:bookmarkStart w:id="207" w:name="_Toc26689"/>
      <w:r>
        <w:rPr>
          <w:rFonts w:hint="eastAsia" w:ascii="宋体" w:hAnsi="宋体" w:cs="宋体"/>
          <w:b/>
          <w:color w:val="auto"/>
          <w:sz w:val="24"/>
          <w:szCs w:val="24"/>
          <w:highlight w:val="none"/>
        </w:rPr>
        <w:t xml:space="preserve">2.9 合同转让</w:t>
      </w:r>
      <w:bookmarkEnd w:id="200"/>
      <w:r/>
      <w:bookmarkEnd w:id="201"/>
      <w:r/>
      <w:bookmarkEnd w:id="202"/>
      <w:r>
        <w:rPr>
          <w:rFonts w:hint="eastAsia" w:ascii="宋体" w:hAnsi="宋体" w:cs="宋体"/>
          <w:b/>
          <w:color w:val="auto"/>
          <w:sz w:val="24"/>
          <w:szCs w:val="24"/>
          <w:highlight w:val="none"/>
        </w:rPr>
        <w:t xml:space="preserve">和分包</w:t>
      </w:r>
      <w:bookmarkEnd w:id="203"/>
      <w:r/>
      <w:bookmarkEnd w:id="204"/>
      <w:r/>
      <w:bookmarkEnd w:id="205"/>
      <w:r/>
      <w:bookmarkEnd w:id="206"/>
      <w:r/>
      <w:bookmarkEnd w:id="207"/>
      <w:r/>
      <w:r/>
    </w:p>
    <w:p>
      <w:pPr>
        <w:ind w:firstLine="480"/>
        <w:spacing w:line="560" w:lineRule="exact"/>
        <w:tabs>
          <w:tab w:val="left" w:pos="2700" w:leader="none"/>
        </w:tabs>
        <w:rPr>
          <w:rFonts w:hint="eastAsia"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合同的权利义务依法不得转让，如磋商文件“第一章 报价邀请函”中甲方接受成交后分包，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不得再次分包，且乙方应就分包项目向甲方负责，并与分包供应商就分包项目向甲方承担连带责任。</w:t>
      </w:r>
      <w:r/>
    </w:p>
    <w:p>
      <w:pPr>
        <w:ind w:firstLine="482"/>
        <w:spacing w:line="560" w:lineRule="exact"/>
        <w:rPr>
          <w:rFonts w:hint="eastAsia" w:ascii="宋体" w:hAnsi="宋体" w:cs="宋体"/>
          <w:b/>
          <w:color w:val="auto"/>
          <w:sz w:val="24"/>
          <w:szCs w:val="24"/>
          <w:highlight w:val="none"/>
        </w:rPr>
      </w:pPr>
      <w:r/>
      <w:bookmarkStart w:id="208" w:name="_Toc4720"/>
      <w:r/>
      <w:bookmarkStart w:id="209" w:name="_Toc14371"/>
      <w:r/>
      <w:bookmarkStart w:id="210" w:name="_Toc32494"/>
      <w:r/>
      <w:bookmarkStart w:id="211" w:name="_Toc25571"/>
      <w:r/>
      <w:bookmarkStart w:id="212" w:name="_Toc26633"/>
      <w:r>
        <w:rPr>
          <w:rFonts w:hint="eastAsia" w:ascii="宋体" w:hAnsi="宋体" w:cs="宋体"/>
          <w:b/>
          <w:color w:val="auto"/>
          <w:sz w:val="24"/>
          <w:szCs w:val="24"/>
          <w:highlight w:val="none"/>
        </w:rPr>
        <w:t xml:space="preserve">2.10 不可抗力</w:t>
      </w:r>
      <w:bookmarkEnd w:id="208"/>
      <w:r/>
      <w:bookmarkEnd w:id="209"/>
      <w:r/>
      <w:bookmarkEnd w:id="210"/>
      <w:r/>
      <w:bookmarkEnd w:id="211"/>
      <w:r/>
      <w:bookmarkEnd w:id="21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eastAsia" w:ascii="宋体" w:hAnsi="宋体" w:cs="宋体"/>
          <w:b/>
          <w:color w:val="auto"/>
          <w:sz w:val="24"/>
          <w:szCs w:val="24"/>
          <w:highlight w:val="none"/>
        </w:rPr>
      </w:pPr>
      <w:r/>
      <w:bookmarkStart w:id="213" w:name="_Toc23854"/>
      <w:r/>
      <w:bookmarkStart w:id="214" w:name="_Toc25783"/>
      <w:r/>
      <w:bookmarkStart w:id="215" w:name="_Toc3638"/>
      <w:r/>
      <w:bookmarkStart w:id="216" w:name="_Toc279701255"/>
      <w:r/>
      <w:bookmarkStart w:id="217" w:name="_Toc487900365"/>
      <w:r/>
      <w:bookmarkStart w:id="218" w:name="_Toc14115"/>
      <w:r/>
      <w:bookmarkStart w:id="219" w:name="_Toc259093684"/>
      <w:r/>
      <w:bookmarkStart w:id="220" w:name="_Toc24465"/>
      <w:r>
        <w:rPr>
          <w:rFonts w:hint="eastAsia" w:ascii="宋体" w:hAnsi="宋体" w:cs="宋体"/>
          <w:b/>
          <w:color w:val="auto"/>
          <w:sz w:val="24"/>
          <w:szCs w:val="24"/>
          <w:highlight w:val="none"/>
        </w:rPr>
        <w:t xml:space="preserve">2.11 税费</w:t>
      </w:r>
      <w:bookmarkEnd w:id="213"/>
      <w:r/>
      <w:bookmarkEnd w:id="214"/>
      <w:r/>
      <w:bookmarkEnd w:id="215"/>
      <w:r/>
      <w:bookmarkEnd w:id="216"/>
      <w:r/>
      <w:bookmarkEnd w:id="217"/>
      <w:r/>
      <w:bookmarkEnd w:id="218"/>
      <w:r/>
      <w:bookmarkEnd w:id="219"/>
      <w:r/>
      <w:bookmarkEnd w:id="220"/>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color w:val="auto"/>
          <w:sz w:val="24"/>
          <w:szCs w:val="24"/>
          <w:highlight w:val="none"/>
        </w:rPr>
      </w:pPr>
      <w:r/>
      <w:bookmarkStart w:id="221" w:name="_Toc30105"/>
      <w:r/>
      <w:bookmarkStart w:id="222" w:name="_Toc487900368"/>
      <w:r/>
      <w:bookmarkStart w:id="223" w:name="_Toc26883"/>
      <w:r/>
      <w:bookmarkStart w:id="224" w:name="_Toc7315"/>
      <w:r/>
      <w:bookmarkStart w:id="225" w:name="_Toc279701258"/>
      <w:r/>
      <w:bookmarkStart w:id="226" w:name="_Toc259093687"/>
      <w:r/>
      <w:bookmarkStart w:id="227" w:name="_Toc25525"/>
      <w:r/>
      <w:bookmarkStart w:id="228" w:name="_Toc14814"/>
      <w:r>
        <w:rPr>
          <w:rFonts w:hint="eastAsia" w:ascii="宋体" w:hAnsi="宋体" w:cs="宋体"/>
          <w:b/>
          <w:color w:val="auto"/>
          <w:sz w:val="24"/>
          <w:szCs w:val="24"/>
          <w:highlight w:val="none"/>
        </w:rPr>
        <w:t xml:space="preserve">2.12 乙方破产</w:t>
      </w:r>
      <w:bookmarkEnd w:id="221"/>
      <w:r/>
      <w:bookmarkEnd w:id="222"/>
      <w:r/>
      <w:bookmarkEnd w:id="223"/>
      <w:r/>
      <w:bookmarkEnd w:id="224"/>
      <w:r/>
      <w:bookmarkEnd w:id="225"/>
      <w:r/>
      <w:bookmarkEnd w:id="226"/>
      <w:r/>
      <w:bookmarkEnd w:id="227"/>
      <w:r/>
      <w:bookmarkEnd w:id="228"/>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color w:val="auto"/>
          <w:sz w:val="24"/>
          <w:szCs w:val="24"/>
          <w:highlight w:val="none"/>
        </w:rPr>
      </w:pPr>
      <w:r/>
      <w:bookmarkStart w:id="229" w:name="_Toc1123"/>
      <w:r/>
      <w:bookmarkStart w:id="230" w:name="_Toc23323"/>
      <w:r/>
      <w:bookmarkStart w:id="231" w:name="_Toc2016"/>
      <w:r>
        <w:rPr>
          <w:rFonts w:hint="eastAsia" w:ascii="宋体" w:hAnsi="宋体" w:cs="宋体"/>
          <w:b/>
          <w:color w:val="auto"/>
          <w:sz w:val="24"/>
          <w:szCs w:val="24"/>
          <w:highlight w:val="none"/>
        </w:rPr>
        <w:t xml:space="preserve">2.13 合同中止、终止</w:t>
      </w:r>
      <w:bookmarkEnd w:id="229"/>
      <w:r/>
      <w:bookmarkEnd w:id="230"/>
      <w:r/>
      <w:bookmarkEnd w:id="23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color w:val="auto"/>
          <w:sz w:val="24"/>
          <w:szCs w:val="24"/>
          <w:highlight w:val="none"/>
        </w:rPr>
      </w:pPr>
      <w:r/>
      <w:bookmarkStart w:id="232" w:name="_Toc1969"/>
      <w:r/>
      <w:bookmarkStart w:id="233" w:name="_Toc17363"/>
      <w:r/>
      <w:bookmarkStart w:id="234" w:name="_Toc14525"/>
      <w:r>
        <w:rPr>
          <w:rFonts w:hint="eastAsia" w:ascii="宋体" w:hAnsi="宋体" w:cs="宋体"/>
          <w:b/>
          <w:color w:val="auto"/>
          <w:sz w:val="24"/>
          <w:szCs w:val="24"/>
          <w:highlight w:val="none"/>
        </w:rPr>
        <w:t xml:space="preserve">2.14 检验和验收</w:t>
      </w:r>
      <w:bookmarkEnd w:id="232"/>
      <w:r/>
      <w:bookmarkEnd w:id="233"/>
      <w:r/>
      <w:bookmarkEnd w:id="234"/>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96"/>
      <w:r/>
      <w:bookmarkEnd w:id="197"/>
      <w:r/>
      <w:bookmarkEnd w:id="198"/>
      <w:r/>
      <w:bookmarkEnd w:id="199"/>
      <w:r/>
      <w:r/>
    </w:p>
    <w:p>
      <w:pPr>
        <w:ind w:firstLine="482"/>
        <w:spacing w:line="560" w:lineRule="exact"/>
        <w:rPr>
          <w:rFonts w:hint="eastAsia" w:ascii="宋体" w:hAnsi="宋体" w:cs="宋体"/>
          <w:b/>
          <w:color w:val="auto"/>
          <w:sz w:val="24"/>
          <w:szCs w:val="24"/>
          <w:highlight w:val="none"/>
        </w:rPr>
      </w:pPr>
      <w:r/>
      <w:bookmarkStart w:id="235" w:name="_Toc279701261"/>
      <w:r/>
      <w:bookmarkStart w:id="236" w:name="_Toc487900371"/>
      <w:r/>
      <w:bookmarkStart w:id="237" w:name="_Toc259093690"/>
      <w:r/>
      <w:bookmarkStart w:id="238" w:name="_Toc31892"/>
      <w:r/>
      <w:bookmarkStart w:id="239" w:name="_Toc2308"/>
      <w:r/>
      <w:bookmarkStart w:id="240" w:name="_Toc25198"/>
      <w:r/>
      <w:bookmarkStart w:id="241" w:name="_Toc9808"/>
      <w:r/>
      <w:bookmarkStart w:id="242" w:name="_Toc12666"/>
      <w:r>
        <w:rPr>
          <w:rFonts w:hint="eastAsia" w:ascii="宋体" w:hAnsi="宋体" w:cs="宋体"/>
          <w:b/>
          <w:color w:val="auto"/>
          <w:sz w:val="24"/>
          <w:szCs w:val="24"/>
          <w:highlight w:val="none"/>
        </w:rPr>
        <w:t xml:space="preserve">2.15 通知</w:t>
      </w:r>
      <w:bookmarkEnd w:id="235"/>
      <w:r/>
      <w:bookmarkEnd w:id="236"/>
      <w:r/>
      <w:bookmarkEnd w:id="237"/>
      <w:r>
        <w:rPr>
          <w:rFonts w:hint="eastAsia" w:ascii="宋体" w:hAnsi="宋体" w:cs="宋体"/>
          <w:b/>
          <w:color w:val="auto"/>
          <w:sz w:val="24"/>
          <w:szCs w:val="24"/>
          <w:highlight w:val="none"/>
        </w:rPr>
        <w:t xml:space="preserve">和送达</w:t>
      </w:r>
      <w:bookmarkEnd w:id="238"/>
      <w:r/>
      <w:bookmarkEnd w:id="239"/>
      <w:r/>
      <w:bookmarkEnd w:id="240"/>
      <w:r/>
      <w:bookmarkEnd w:id="241"/>
      <w:r/>
      <w:bookmarkEnd w:id="242"/>
      <w:r/>
      <w:r/>
    </w:p>
    <w:p>
      <w:pPr>
        <w:ind w:firstLine="480"/>
        <w:spacing w:line="560" w:lineRule="exact"/>
        <w:rPr>
          <w:rFonts w:hint="eastAsia" w:ascii="宋体" w:hAnsi="宋体" w:cs="宋体"/>
          <w:color w:val="auto"/>
          <w:sz w:val="24"/>
          <w:szCs w:val="24"/>
          <w:highlight w:val="none"/>
        </w:rPr>
      </w:pPr>
      <w:r/>
      <w:bookmarkStart w:id="243" w:name="_Toc29220"/>
      <w:r/>
      <w:bookmarkStart w:id="244" w:name="_Toc7073"/>
      <w:r/>
      <w:bookmarkStart w:id="245" w:name="_Toc259093691"/>
      <w:r/>
      <w:bookmarkStart w:id="246" w:name="_Toc279701262"/>
      <w:r/>
      <w:bookmarkStart w:id="247" w:name="_Toc487900372"/>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43"/>
      <w:r/>
      <w:bookmarkEnd w:id="244"/>
      <w:r/>
      <w:r/>
    </w:p>
    <w:p>
      <w:pPr>
        <w:ind w:firstLine="480"/>
        <w:spacing w:line="560" w:lineRule="exact"/>
        <w:rPr>
          <w:rFonts w:hint="eastAsia" w:ascii="宋体" w:hAnsi="宋体" w:cs="宋体"/>
          <w:color w:val="auto"/>
          <w:sz w:val="24"/>
          <w:szCs w:val="24"/>
          <w:highlight w:val="none"/>
        </w:rPr>
      </w:pPr>
      <w:r/>
      <w:bookmarkStart w:id="248" w:name="_Toc18401"/>
      <w:r/>
      <w:bookmarkStart w:id="249"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5"/>
      <w:r/>
      <w:bookmarkEnd w:id="246"/>
      <w:r/>
      <w:bookmarkEnd w:id="247"/>
      <w:r/>
      <w:bookmarkEnd w:id="248"/>
      <w:r/>
      <w:bookmarkEnd w:id="249"/>
      <w:r/>
      <w:r/>
    </w:p>
    <w:p>
      <w:pPr>
        <w:ind w:firstLine="482"/>
        <w:spacing w:line="560" w:lineRule="exact"/>
        <w:rPr>
          <w:rFonts w:hint="eastAsia" w:ascii="宋体" w:hAnsi="宋体" w:cs="宋体"/>
          <w:b/>
          <w:color w:val="auto"/>
          <w:sz w:val="24"/>
          <w:szCs w:val="24"/>
          <w:highlight w:val="none"/>
        </w:rPr>
      </w:pPr>
      <w:r/>
      <w:bookmarkStart w:id="250" w:name="_Toc27644"/>
      <w:r/>
      <w:bookmarkStart w:id="251" w:name="_Toc20808"/>
      <w:r/>
      <w:bookmarkStart w:id="252" w:name="_Toc259093692"/>
      <w:r/>
      <w:bookmarkStart w:id="253" w:name="_Toc28906"/>
      <w:r/>
      <w:bookmarkStart w:id="254" w:name="_Toc5063"/>
      <w:r/>
      <w:bookmarkStart w:id="255" w:name="_Toc487900373"/>
      <w:r/>
      <w:bookmarkStart w:id="256" w:name="_Toc12254"/>
      <w:r/>
      <w:bookmarkStart w:id="257" w:name="_Toc279701263"/>
      <w:r>
        <w:rPr>
          <w:rFonts w:hint="eastAsia" w:ascii="宋体" w:hAnsi="宋体" w:cs="宋体"/>
          <w:b/>
          <w:color w:val="auto"/>
          <w:sz w:val="24"/>
          <w:szCs w:val="24"/>
          <w:highlight w:val="none"/>
        </w:rPr>
        <w:t xml:space="preserve">2.16 合同使用的文字和适用的法律</w:t>
      </w:r>
      <w:bookmarkEnd w:id="250"/>
      <w:r/>
      <w:bookmarkEnd w:id="251"/>
      <w:r/>
      <w:bookmarkEnd w:id="252"/>
      <w:r/>
      <w:bookmarkEnd w:id="253"/>
      <w:r/>
      <w:bookmarkEnd w:id="254"/>
      <w:r/>
      <w:bookmarkEnd w:id="255"/>
      <w:r/>
      <w:bookmarkEnd w:id="256"/>
      <w:r/>
      <w:bookmarkEnd w:id="257"/>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pStyle w:val="913"/>
        <w:ind w:firstLine="0"/>
        <w:jc w:val="center"/>
        <w:rPr>
          <w:rFonts w:cs="宋体"/>
          <w:b/>
          <w:color w:val="auto"/>
          <w:szCs w:val="24"/>
          <w:highlight w:val="none"/>
        </w:rPr>
      </w:pPr>
      <w:r>
        <w:rPr>
          <w:rFonts w:cs="宋体"/>
          <w:b/>
          <w:color w:val="auto"/>
          <w:szCs w:val="24"/>
          <w:highlight w:val="none"/>
        </w:rPr>
      </w:r>
      <w:r/>
    </w:p>
    <w:p>
      <w:pPr>
        <w:jc w:val="center"/>
        <w:spacing w:line="360" w:lineRule="auto"/>
        <w:rPr>
          <w:rFonts w:ascii="黑体" w:eastAsia="黑体"/>
          <w:color w:val="auto"/>
          <w:sz w:val="28"/>
          <w:highlight w:val="none"/>
        </w:rPr>
        <w:outlineLvl w:val="0"/>
      </w:pPr>
      <w:r>
        <w:rPr>
          <w:rFonts w:ascii="黑体" w:eastAsia="黑体"/>
          <w:color w:val="auto"/>
          <w:sz w:val="28"/>
          <w:highlight w:val="none"/>
        </w:rPr>
        <w:br w:type="page" w:clear="all"/>
      </w:r>
      <w:bookmarkStart w:id="258" w:name="_Toc184189856"/>
      <w:r>
        <w:rPr>
          <w:rFonts w:hint="eastAsia" w:ascii="黑体" w:eastAsia="黑体"/>
          <w:color w:val="auto"/>
          <w:sz w:val="28"/>
          <w:highlight w:val="none"/>
        </w:rPr>
        <w:t xml:space="preserve">第六章 响应文件（格式）</w:t>
      </w:r>
      <w:bookmarkEnd w:id="91"/>
      <w:r/>
      <w:bookmarkEnd w:id="258"/>
      <w:r/>
      <w:r/>
    </w:p>
    <w:p>
      <w:pPr>
        <w:pStyle w:val="913"/>
        <w:ind w:firstLine="0"/>
        <w:jc w:val="center"/>
        <w:rPr>
          <w:rFonts w:ascii="黑体" w:eastAsia="黑体"/>
          <w:color w:val="auto"/>
          <w:sz w:val="28"/>
          <w:highlight w:val="none"/>
        </w:rPr>
      </w:pPr>
      <w:r>
        <w:rPr>
          <w:rFonts w:ascii="黑体" w:eastAsia="黑体"/>
          <w:color w:val="auto"/>
          <w:sz w:val="28"/>
          <w:highlight w:val="none"/>
        </w:rPr>
      </w:r>
      <w:r/>
    </w:p>
    <w:p>
      <w:pPr>
        <w:pStyle w:val="913"/>
        <w:ind w:firstLine="0"/>
        <w:jc w:val="center"/>
        <w:rPr>
          <w:rFonts w:ascii="黑体" w:eastAsia="黑体"/>
          <w:color w:val="auto"/>
          <w:sz w:val="28"/>
          <w:highlight w:val="none"/>
        </w:rPr>
      </w:pPr>
      <w:r>
        <w:rPr>
          <w:rFonts w:ascii="黑体" w:eastAsia="黑体"/>
          <w:color w:val="auto"/>
          <w:sz w:val="28"/>
          <w:highlight w:val="none"/>
        </w:rPr>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响</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应</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hint="eastAsia" w:ascii="宋体" w:hAnsi="宋体"/>
          <w:b/>
          <w:color w:val="auto"/>
          <w:sz w:val="36"/>
          <w:szCs w:val="36"/>
          <w:highlight w:val="none"/>
          <w:u w:val="single"/>
        </w:rPr>
      </w:pPr>
      <w:r/>
      <w:bookmarkStart w:id="259" w:name="_Toc10010"/>
      <w:r/>
      <w:bookmarkStart w:id="260" w:name="_Toc24371"/>
      <w:r/>
      <w:bookmarkStart w:id="261" w:name="_Toc24602"/>
      <w:r>
        <w:rPr>
          <w:rFonts w:hint="eastAsia" w:ascii="宋体" w:hAnsi="宋体"/>
          <w:b/>
          <w:color w:val="auto"/>
          <w:sz w:val="36"/>
          <w:szCs w:val="36"/>
          <w:highlight w:val="none"/>
        </w:rPr>
        <w:t xml:space="preserve">项目名称：</w:t>
      </w:r>
      <w:bookmarkEnd w:id="259"/>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lang w:val="en-US" w:eastAsia="zh-CN"/>
        </w:rPr>
        <w:t xml:space="preserve">     </w:t>
      </w:r>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bookmarkStart w:id="262" w:name="_Toc2400"/>
      <w:r>
        <w:rPr>
          <w:rFonts w:hint="eastAsia" w:ascii="宋体" w:hAnsi="宋体"/>
          <w:b/>
          <w:color w:val="auto"/>
          <w:sz w:val="36"/>
          <w:szCs w:val="36"/>
          <w:highlight w:val="none"/>
        </w:rPr>
        <w:t xml:space="preserve">项目编号：</w:t>
      </w:r>
      <w:bookmarkEnd w:id="262"/>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lang w:val="en-US" w:eastAsia="zh-CN"/>
        </w:rPr>
        <w:t xml:space="preserve">     </w:t>
      </w:r>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rPr>
          <w:rFonts w:hint="eastAsia" w:ascii="宋体" w:hAnsi="宋体"/>
          <w:b/>
          <w:color w:val="auto"/>
          <w:sz w:val="36"/>
          <w:szCs w:val="36"/>
          <w:highlight w:val="none"/>
        </w:rPr>
        <w:t xml:space="preserve">供 应 商：</w:t>
      </w:r>
      <w:bookmarkEnd w:id="260"/>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lang w:val="en-US" w:eastAsia="zh-CN"/>
        </w:rPr>
        <w:t xml:space="preserve">     </w:t>
      </w:r>
      <w:r>
        <w:rPr>
          <w:rFonts w:ascii="宋体" w:hAnsi="宋体"/>
          <w:b/>
          <w:color w:val="auto"/>
          <w:sz w:val="36"/>
          <w:szCs w:val="36"/>
          <w:highlight w:val="none"/>
          <w:u w:val="single"/>
        </w:rPr>
        <w:t xml:space="preserve">       </w:t>
      </w:r>
      <w:r/>
    </w:p>
    <w:p>
      <w:pPr>
        <w:spacing w:line="360" w:lineRule="auto"/>
        <w:rPr>
          <w:rFonts w:hint="eastAsia"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（一）磋商报价表：</w:t>
      </w:r>
      <w:r/>
    </w:p>
    <w:p>
      <w:pPr>
        <w:ind w:firstLine="480"/>
        <w:rPr>
          <w:rFonts w:hint="eastAsia" w:ascii="黑体" w:hAnsi="宋体" w:eastAsia="黑体"/>
          <w:color w:val="auto"/>
          <w:sz w:val="24"/>
          <w:szCs w:val="24"/>
          <w:highlight w:val="none"/>
        </w:rPr>
      </w:pPr>
      <w:r>
        <w:rPr>
          <w:rFonts w:hint="eastAsia" w:ascii="黑体" w:hAnsi="宋体" w:eastAsia="黑体"/>
          <w:color w:val="auto"/>
          <w:sz w:val="24"/>
          <w:szCs w:val="24"/>
          <w:highlight w:val="none"/>
        </w:rPr>
        <w:t xml:space="preserve">1</w:t>
      </w:r>
      <w:r>
        <w:rPr>
          <w:rFonts w:ascii="黑体" w:hAnsi="宋体" w:eastAsia="黑体"/>
          <w:color w:val="auto"/>
          <w:sz w:val="24"/>
          <w:szCs w:val="24"/>
          <w:highlight w:val="none"/>
        </w:rPr>
        <w:t xml:space="preserve">、磋商报价表</w:t>
      </w:r>
      <w:r>
        <w:rPr>
          <w:rFonts w:hint="eastAsia" w:ascii="黑体" w:hAnsi="宋体" w:eastAsia="黑体"/>
          <w:color w:val="auto"/>
          <w:sz w:val="24"/>
          <w:szCs w:val="24"/>
          <w:highlight w:val="none"/>
        </w:rPr>
        <w:t xml:space="preserve">（格式）：</w:t>
      </w:r>
      <w:r/>
    </w:p>
    <w:p>
      <w:pPr>
        <w:jc w:val="center"/>
        <w:spacing w:before="156" w:after="156"/>
        <w:rPr>
          <w:rFonts w:ascii="黑体" w:eastAsia="黑体"/>
          <w:color w:val="auto"/>
          <w:sz w:val="28"/>
          <w:szCs w:val="28"/>
          <w:highlight w:val="none"/>
        </w:rPr>
      </w:pPr>
      <w:r>
        <w:rPr>
          <w:rFonts w:ascii="黑体" w:eastAsia="黑体"/>
          <w:color w:val="auto"/>
          <w:sz w:val="28"/>
          <w:szCs w:val="28"/>
          <w:highlight w:val="none"/>
        </w:rPr>
        <w:t xml:space="preserve">磋商报价表</w:t>
      </w:r>
      <w:r/>
    </w:p>
    <w:p>
      <w:pPr>
        <w:pStyle w:val="7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货币单位：人民币元</w:t>
      </w:r>
      <w:r/>
    </w:p>
    <w:p>
      <w:pPr>
        <w:pStyle w:val="7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690"/>
        <w:tblW w:w="0" w:type="auto"/>
        <w:tblCellSpacing w:w="0" w:type="dxa"/>
        <w:tblInd w:w="-5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980"/>
        <w:gridCol w:w="3840"/>
        <w:gridCol w:w="3450"/>
      </w:tblGrid>
      <w:tr>
        <w:trPr>
          <w:tblCellSpacing w:w="0" w:type="dxa"/>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0" w:type="dxa"/>
            <w:vAlign w:val="center"/>
            <w:textDirection w:val="lrTb"/>
            <w:noWrap w:val="false"/>
          </w:tcPr>
          <w:p>
            <w:pPr>
              <w:pStyle w:val="718"/>
              <w:jc w:val="center"/>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0" w:type="dxa"/>
            <w:vAlign w:val="center"/>
            <w:textDirection w:val="lrTb"/>
            <w:noWrap w:val="false"/>
          </w:tcPr>
          <w:p>
            <w:pPr>
              <w:pStyle w:val="718"/>
              <w:jc w:val="center"/>
              <w:spacing w:beforeAutospacing="0" w:afterAutospacing="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50" w:type="dxa"/>
            <w:vAlign w:val="center"/>
            <w:textDirection w:val="lrTb"/>
            <w:noWrap w:val="false"/>
          </w:tcPr>
          <w:p>
            <w:pPr>
              <w:pStyle w:val="718"/>
              <w:jc w:val="center"/>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blCellSpacing w:w="0" w:type="dxa"/>
          <w:trHeight w:val="7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0" w:type="dxa"/>
            <w:vAlign w:val="center"/>
            <w:textDirection w:val="lrTb"/>
            <w:noWrap w:val="false"/>
          </w:tcPr>
          <w:p>
            <w:pPr>
              <w:pStyle w:val="718"/>
              <w:jc w:val="center"/>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0" w:type="dxa"/>
            <w:vAlign w:val="center"/>
            <w:textDirection w:val="lrTb"/>
            <w:noWrap w:val="false"/>
          </w:tcPr>
          <w:p>
            <w:pPr>
              <w:pStyle w:val="718"/>
              <w:jc w:val="center"/>
              <w:spacing w:beforeAutospacing="0" w:afterAutospacing="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  </w:t>
            </w:r>
            <w:bookmarkStart w:id="292" w:name="_GoBack"/>
            <w:r/>
            <w:bookmarkEnd w:id="292"/>
            <w:r>
              <w:rPr>
                <w:rFonts w:hint="eastAsia" w:ascii="宋体" w:hAnsi="宋体" w:eastAsia="宋体" w:cs="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50" w:type="dxa"/>
            <w:vAlign w:val="center"/>
            <w:textDirection w:val="lrTb"/>
            <w:noWrap w:val="false"/>
          </w:tcPr>
          <w:p>
            <w:pPr>
              <w:pStyle w:val="718"/>
              <w:jc w:val="center"/>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blCellSpacing w:w="0" w:type="dxa"/>
          <w:trHeight w:val="11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0" w:type="dxa"/>
            <w:vAlign w:val="center"/>
            <w:textDirection w:val="lrTb"/>
            <w:noWrap w:val="false"/>
          </w:tcPr>
          <w:p>
            <w:pPr>
              <w:pStyle w:val="718"/>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0" w:type="dxa"/>
            <w:vAlign w:val="center"/>
            <w:textDirection w:val="lrTb"/>
            <w:noWrap w:val="false"/>
          </w:tcPr>
          <w:p>
            <w:pPr>
              <w:pStyle w:val="718"/>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金额大写 </w:t>
            </w:r>
            <w:r/>
          </w:p>
        </w:tc>
      </w:tr>
    </w:tbl>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color w:val="auto"/>
          <w:sz w:val="24"/>
          <w:szCs w:val="24"/>
          <w:highlight w:val="none"/>
        </w:rPr>
      </w:pPr>
      <w:r>
        <w:rPr>
          <w:rFonts w:hint="eastAsia" w:ascii="宋体" w:hAnsi="宋体"/>
          <w:color w:val="auto"/>
          <w:sz w:val="24"/>
          <w:szCs w:val="24"/>
          <w:highlight w:val="none"/>
        </w:rPr>
      </w:r>
      <w:r/>
    </w:p>
    <w:p>
      <w:pPr>
        <w:ind w:left="5460" w:hanging="546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注：</w:t>
      </w:r>
      <w:r/>
    </w:p>
    <w:p>
      <w:pPr>
        <w:pStyle w:val="718"/>
        <w:spacing w:before="0" w:beforeAutospacing="0" w:after="0" w:afterAutospacing="0"/>
        <w:rPr>
          <w:color w:val="auto"/>
          <w:highlight w:val="none"/>
        </w:rPr>
      </w:pPr>
      <w:r>
        <w:rPr>
          <w:rFonts w:hint="eastAsia"/>
          <w:color w:val="auto"/>
          <w:highlight w:val="none"/>
        </w:rPr>
        <w:t xml:space="preserve">1、报价包括完成项目的所有费用。采购人不再支付报价以外的任何费用。</w:t>
      </w:r>
      <w:r/>
    </w:p>
    <w:p>
      <w:pPr>
        <w:pStyle w:val="718"/>
        <w:spacing w:before="0" w:beforeAutospacing="0" w:after="0" w:afterAutospacing="0"/>
        <w:rPr>
          <w:color w:val="auto"/>
          <w:highlight w:val="none"/>
        </w:rPr>
      </w:pPr>
      <w:r>
        <w:rPr>
          <w:color w:val="auto"/>
          <w:highlight w:val="none"/>
        </w:rPr>
        <w:t xml:space="preserve">2、报价以总价为准，大小写不一致以大写为准</w:t>
      </w:r>
      <w:r>
        <w:rPr>
          <w:rFonts w:hint="eastAsia"/>
          <w:color w:val="auto"/>
          <w:highlight w:val="none"/>
        </w:rPr>
        <w:t xml:space="preserve">。</w:t>
      </w:r>
      <w:r/>
    </w:p>
    <w:p>
      <w:pPr>
        <w:pStyle w:val="718"/>
        <w:spacing w:before="0" w:beforeAutospacing="0" w:after="0" w:afterAutospacing="0"/>
        <w:rPr>
          <w:color w:val="auto"/>
          <w:highlight w:val="none"/>
        </w:rPr>
      </w:pPr>
      <w:r>
        <w:rPr>
          <w:color w:val="auto"/>
          <w:highlight w:val="none"/>
        </w:rPr>
        <w:t xml:space="preserve">3、偏离说明：详见《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718"/>
        <w:jc w:val="right"/>
        <w:rPr>
          <w:color w:val="auto"/>
          <w:highlight w:val="none"/>
        </w:rPr>
      </w:pPr>
      <w:r>
        <w:rPr>
          <w:color w:val="auto"/>
          <w:highlight w:val="none"/>
        </w:rPr>
      </w:r>
      <w:r/>
    </w:p>
    <w:p>
      <w:pPr>
        <w:pStyle w:val="718"/>
        <w:jc w:val="right"/>
        <w:rPr>
          <w:color w:val="auto"/>
          <w:highlight w:val="none"/>
        </w:rPr>
      </w:pPr>
      <w:r>
        <w:rPr>
          <w:color w:val="auto"/>
          <w:highlight w:val="none"/>
        </w:rPr>
      </w:r>
      <w:r/>
    </w:p>
    <w:p>
      <w:pPr>
        <w:pStyle w:val="718"/>
        <w:jc w:val="center"/>
        <w:rPr>
          <w:color w:val="auto"/>
          <w:highlight w:val="none"/>
        </w:rPr>
      </w:pPr>
      <w:r>
        <w:rPr>
          <w:rFonts w:hint="eastAsia"/>
          <w:color w:val="auto"/>
          <w:highlight w:val="none"/>
          <w:lang w:val="en-US" w:eastAsia="zh-CN"/>
        </w:rPr>
        <w:t xml:space="preserve">                                         </w:t>
      </w:r>
      <w:r>
        <w:rPr>
          <w:color w:val="auto"/>
          <w:highlight w:val="none"/>
        </w:rPr>
        <w:t xml:space="preserve">供应商（电子签章）：</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jc w:val="center"/>
        <w:spacing w:before="156" w:after="156"/>
        <w:rPr>
          <w:rFonts w:ascii="黑体" w:eastAsia="黑体"/>
          <w:color w:val="auto"/>
          <w:sz w:val="28"/>
          <w:szCs w:val="28"/>
          <w:highlight w:val="none"/>
        </w:rPr>
      </w:pPr>
      <w:r>
        <w:rPr>
          <w:rFonts w:ascii="黑体" w:eastAsia="黑体"/>
          <w:color w:val="auto"/>
          <w:sz w:val="28"/>
          <w:szCs w:val="28"/>
          <w:highlight w:val="none"/>
        </w:rPr>
        <w:t xml:space="preserve">磋商</w:t>
      </w:r>
      <w:r>
        <w:rPr>
          <w:rFonts w:hint="eastAsia" w:ascii="黑体" w:eastAsia="黑体"/>
          <w:color w:val="auto"/>
          <w:sz w:val="28"/>
          <w:szCs w:val="28"/>
          <w:highlight w:val="none"/>
          <w:lang w:val="en-US" w:eastAsia="zh-CN"/>
        </w:rPr>
        <w:t xml:space="preserve">明细</w:t>
      </w:r>
      <w:r>
        <w:rPr>
          <w:rFonts w:ascii="黑体" w:eastAsia="黑体"/>
          <w:color w:val="auto"/>
          <w:sz w:val="28"/>
          <w:szCs w:val="28"/>
          <w:highlight w:val="none"/>
        </w:rPr>
        <w:t xml:space="preserve">报价表</w:t>
      </w:r>
      <w:r/>
    </w:p>
    <w:p>
      <w:pPr>
        <w:pStyle w:val="718"/>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本次为首次报价</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货币单位：人民币元</w:t>
      </w:r>
      <w:r/>
    </w:p>
    <w:p>
      <w:pPr>
        <w:ind w:left="1"/>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tbl>
      <w:tblPr>
        <w:tblStyle w:val="690"/>
        <w:tblW w:w="10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5"/>
        <w:gridCol w:w="3060"/>
        <w:gridCol w:w="1989"/>
        <w:gridCol w:w="1989"/>
        <w:gridCol w:w="1989"/>
      </w:tblGrid>
      <w:tr>
        <w:trPr>
          <w:jc w:val="center"/>
          <w:trHeight w:val="771"/>
        </w:trPr>
        <w:tc>
          <w:tcPr>
            <w:tcW w:w="134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06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198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198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tc>
        <w:tc>
          <w:tcPr>
            <w:tcW w:w="198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分项总报价</w:t>
            </w:r>
            <w:r/>
          </w:p>
        </w:tc>
      </w:tr>
      <w:tr>
        <w:trPr>
          <w:jc w:val="center"/>
          <w:trHeight w:val="755"/>
        </w:trPr>
        <w:tc>
          <w:tcPr>
            <w:tcW w:w="1345" w:type="dxa"/>
            <w:vAlign w:val="center"/>
            <w:textDirection w:val="lrTb"/>
            <w:noWrap w:val="false"/>
          </w:tcPr>
          <w:p>
            <w:pPr>
              <w:ind w:left="-111" w:firstLine="62"/>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060" w:type="dxa"/>
            <w:vAlign w:val="center"/>
            <w:textDirection w:val="lrTb"/>
            <w:noWrap w:val="false"/>
          </w:tcPr>
          <w:p>
            <w:pPr>
              <w:pStyle w:val="927"/>
              <w:ind w:firstLine="0"/>
              <w:jc w:val="left"/>
              <w:spacing w:line="360" w:lineRule="auto"/>
              <w:shd w:val="clear" w:color="auto" w:fill="auto"/>
              <w:rPr>
                <w:rFonts w:hint="eastAsia" w:ascii="宋体" w:hAnsi="宋体" w:eastAsia="宋体" w:cs="宋体"/>
                <w:color w:val="auto"/>
                <w:sz w:val="24"/>
                <w:szCs w:val="24"/>
                <w:lang w:val="en-US" w:bidi="ar-SA"/>
              </w:rPr>
            </w:pPr>
            <w:r>
              <w:rPr>
                <w:rFonts w:hint="eastAsia" w:ascii="宋体" w:hAnsi="宋体" w:eastAsia="宋体" w:cs="宋体"/>
                <w:color w:val="auto"/>
                <w:sz w:val="24"/>
                <w:szCs w:val="24"/>
                <w:lang w:val="en-US" w:bidi="ar-SA"/>
              </w:rPr>
              <w:t xml:space="preserve">业务材料及图纸整理</w:t>
            </w:r>
            <w:r/>
          </w:p>
        </w:tc>
        <w:tc>
          <w:tcPr>
            <w:tcW w:w="1989" w:type="dxa"/>
            <w:vAlign w:val="center"/>
            <w:textDirection w:val="lrTb"/>
            <w:noWrap w:val="false"/>
          </w:tcPr>
          <w:p>
            <w:pPr>
              <w:pStyle w:val="927"/>
              <w:ind w:firstLine="0"/>
              <w:jc w:val="center"/>
              <w:spacing w:line="360" w:lineRule="auto"/>
              <w:shd w:val="clear" w:color="auto" w:fil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115000卷</w:t>
            </w:r>
            <w:r/>
          </w:p>
        </w:tc>
        <w:tc>
          <w:tcPr>
            <w:tcW w:w="198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/卷</w:t>
            </w:r>
            <w:r/>
          </w:p>
        </w:tc>
        <w:tc>
          <w:tcPr>
            <w:tcW w:w="198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755"/>
        </w:trPr>
        <w:tc>
          <w:tcPr>
            <w:tcW w:w="1345" w:type="dxa"/>
            <w:vAlign w:val="center"/>
            <w:textDirection w:val="lrTb"/>
            <w:noWrap w:val="false"/>
          </w:tcPr>
          <w:p>
            <w:pPr>
              <w:ind w:left="-111" w:firstLine="62"/>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060" w:type="dxa"/>
            <w:vAlign w:val="center"/>
            <w:textDirection w:val="lrTb"/>
            <w:noWrap w:val="false"/>
          </w:tcPr>
          <w:p>
            <w:pPr>
              <w:pStyle w:val="927"/>
              <w:ind w:firstLine="0"/>
              <w:jc w:val="left"/>
              <w:spacing w:line="360" w:lineRule="auto"/>
              <w:shd w:val="clear" w:color="auto" w:fill="auto"/>
              <w:rPr>
                <w:rFonts w:hint="eastAsia" w:ascii="宋体" w:hAnsi="宋体" w:eastAsia="宋体" w:cs="宋体"/>
                <w:color w:val="auto"/>
                <w:sz w:val="24"/>
                <w:szCs w:val="24"/>
                <w:lang w:val="en-US" w:bidi="ar-SA"/>
              </w:rPr>
            </w:pPr>
            <w:r>
              <w:rPr>
                <w:rFonts w:hint="eastAsia" w:ascii="宋体" w:hAnsi="宋体" w:eastAsia="宋体" w:cs="宋体"/>
                <w:color w:val="auto"/>
                <w:sz w:val="24"/>
                <w:szCs w:val="24"/>
                <w:lang w:val="en-US" w:bidi="ar-SA"/>
              </w:rPr>
              <w:t xml:space="preserve">业务材料及图纸数字化</w:t>
            </w:r>
            <w:r/>
          </w:p>
        </w:tc>
        <w:tc>
          <w:tcPr>
            <w:tcW w:w="1989" w:type="dxa"/>
            <w:vAlign w:val="center"/>
            <w:textDirection w:val="lrTb"/>
            <w:noWrap w:val="false"/>
          </w:tcPr>
          <w:p>
            <w:pPr>
              <w:pStyle w:val="927"/>
              <w:ind w:firstLine="0"/>
              <w:jc w:val="center"/>
              <w:spacing w:line="360" w:lineRule="auto"/>
              <w:shd w:val="clear" w:color="auto" w:fil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2619000页</w:t>
            </w:r>
            <w:r/>
          </w:p>
        </w:tc>
        <w:tc>
          <w:tcPr>
            <w:tcW w:w="198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/页</w:t>
            </w:r>
            <w:r/>
          </w:p>
        </w:tc>
        <w:tc>
          <w:tcPr>
            <w:tcW w:w="1989"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755"/>
        </w:trPr>
        <w:tc>
          <w:tcPr>
            <w:gridSpan w:val="2"/>
            <w:tcW w:w="4405" w:type="dxa"/>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gridSpan w:val="3"/>
            <w:tcW w:w="5967" w:type="dxa"/>
            <w:vAlign w:val="center"/>
            <w:textDirection w:val="lrTb"/>
            <w:noWrap w:val="false"/>
          </w:tcPr>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（小写）</w:t>
            </w:r>
            <w:r/>
          </w:p>
        </w:tc>
      </w:tr>
      <w:tr>
        <w:trPr>
          <w:jc w:val="center"/>
          <w:trHeight w:val="755"/>
        </w:trPr>
        <w:tc>
          <w:tcPr>
            <w:gridSpan w:val="2"/>
            <w:tcW w:w="4405"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3"/>
            <w:tcW w:w="5967" w:type="dxa"/>
            <w:vAlign w:val="center"/>
            <w:textDirection w:val="lrTb"/>
            <w:noWrap w:val="false"/>
          </w:tcPr>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（大写）</w:t>
            </w:r>
            <w:r/>
          </w:p>
        </w:tc>
      </w:tr>
    </w:tbl>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p>
      <w:pPr>
        <w:ind w:left="5460" w:hanging="546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注：</w:t>
      </w:r>
      <w:r/>
    </w:p>
    <w:p>
      <w:pPr>
        <w:pStyle w:val="718"/>
        <w:spacing w:before="0" w:beforeAutospacing="0" w:after="0" w:afterAutospacing="0"/>
        <w:rPr>
          <w:color w:val="auto"/>
          <w:highlight w:val="none"/>
        </w:rPr>
      </w:pPr>
      <w:r>
        <w:rPr>
          <w:rFonts w:hint="eastAsia"/>
          <w:color w:val="auto"/>
          <w:highlight w:val="none"/>
        </w:rPr>
        <w:t xml:space="preserve">1、报价包括完成项目的所有费用。采购人不再支付报价以外的任何费用。</w:t>
      </w:r>
      <w:r/>
    </w:p>
    <w:p>
      <w:pPr>
        <w:pStyle w:val="718"/>
        <w:spacing w:before="0" w:beforeAutospacing="0" w:after="0" w:afterAutospacing="0"/>
        <w:rPr>
          <w:color w:val="auto"/>
          <w:highlight w:val="none"/>
        </w:rPr>
      </w:pPr>
      <w:r>
        <w:rPr>
          <w:color w:val="auto"/>
          <w:highlight w:val="none"/>
        </w:rPr>
        <w:t xml:space="preserve">2、报价以总价为准，大小写不一致以大写为准</w:t>
      </w:r>
      <w:r>
        <w:rPr>
          <w:rFonts w:hint="eastAsia"/>
          <w:color w:val="auto"/>
          <w:highlight w:val="none"/>
        </w:rPr>
        <w:t xml:space="preserve">。</w:t>
      </w:r>
      <w:r/>
    </w:p>
    <w:p>
      <w:pPr>
        <w:pStyle w:val="718"/>
        <w:spacing w:before="0" w:beforeAutospacing="0" w:after="0" w:afterAutospacing="0"/>
        <w:rPr>
          <w:rFonts w:hint="eastAsia"/>
          <w:color w:val="auto"/>
          <w:highlight w:val="none"/>
        </w:rPr>
      </w:pPr>
      <w:r>
        <w:rPr>
          <w:color w:val="auto"/>
          <w:highlight w:val="none"/>
        </w:rPr>
        <w:t xml:space="preserve">3、偏离说明：详见《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718"/>
        <w:spacing w:before="0" w:beforeAutospacing="0" w:after="0" w:afterAutospacing="0"/>
        <w:rPr>
          <w:rFonts w:hint="default" w:eastAsia="宋体"/>
          <w:color w:val="auto"/>
          <w:highlight w:val="none"/>
          <w:lang w:val="en-US" w:eastAsia="zh-CN"/>
        </w:rPr>
      </w:pPr>
      <w:r>
        <w:rPr>
          <w:rFonts w:hint="eastAsia"/>
          <w:color w:val="auto"/>
          <w:highlight w:val="none"/>
          <w:lang w:val="en-US" w:eastAsia="zh-CN"/>
        </w:rPr>
        <w:t xml:space="preserve">4、数量以实际为准。</w:t>
      </w:r>
      <w:r/>
    </w:p>
    <w:p>
      <w:pPr>
        <w:pStyle w:val="718"/>
        <w:jc w:val="right"/>
        <w:rPr>
          <w:color w:val="auto"/>
          <w:highlight w:val="none"/>
        </w:rPr>
      </w:pPr>
      <w:r>
        <w:rPr>
          <w:color w:val="auto"/>
          <w:highlight w:val="none"/>
        </w:rPr>
      </w:r>
      <w:r/>
    </w:p>
    <w:p>
      <w:pPr>
        <w:pStyle w:val="718"/>
        <w:jc w:val="right"/>
        <w:rPr>
          <w:color w:val="auto"/>
          <w:highlight w:val="none"/>
        </w:rPr>
      </w:pPr>
      <w:r>
        <w:rPr>
          <w:color w:val="auto"/>
          <w:highlight w:val="none"/>
        </w:rPr>
      </w:r>
      <w:r/>
    </w:p>
    <w:p>
      <w:pPr>
        <w:pStyle w:val="718"/>
        <w:jc w:val="center"/>
        <w:rPr>
          <w:color w:val="auto"/>
          <w:highlight w:val="none"/>
        </w:rPr>
      </w:pPr>
      <w:r>
        <w:rPr>
          <w:rFonts w:hint="eastAsia"/>
          <w:color w:val="auto"/>
          <w:highlight w:val="none"/>
          <w:lang w:val="en-US" w:eastAsia="zh-CN"/>
        </w:rPr>
        <w:t xml:space="preserve">                              </w:t>
      </w:r>
      <w:r>
        <w:rPr>
          <w:color w:val="auto"/>
          <w:highlight w:val="none"/>
        </w:rPr>
        <w:t xml:space="preserve">供应商（电子签章）：</w:t>
      </w:r>
      <w:r/>
    </w:p>
    <w:p>
      <w:pPr>
        <w:spacing w:line="360" w:lineRule="auto"/>
        <w:rPr>
          <w:rFonts w:hint="eastAsia" w:ascii="黑体" w:hAnsi="宋体" w:eastAsia="黑体"/>
          <w:bCs/>
          <w:color w:val="ff0000"/>
          <w:sz w:val="28"/>
          <w:szCs w:val="28"/>
          <w:highlight w:val="none"/>
        </w:rPr>
      </w:pPr>
      <w:r>
        <w:rPr>
          <w:rFonts w:hint="eastAsia" w:ascii="黑体" w:hAnsi="宋体" w:eastAsia="黑体"/>
          <w:bCs/>
          <w:color w:val="ff0000"/>
          <w:sz w:val="28"/>
          <w:szCs w:val="28"/>
          <w:highlight w:val="none"/>
        </w:rPr>
      </w:r>
      <w:r/>
    </w:p>
    <w:p>
      <w:pPr>
        <w:spacing w:line="360" w:lineRule="auto"/>
        <w:rPr>
          <w:rFonts w:hint="eastAsia" w:ascii="黑体" w:hAnsi="宋体" w:eastAsia="黑体"/>
          <w:bCs/>
          <w:color w:val="ff0000"/>
          <w:sz w:val="28"/>
          <w:szCs w:val="28"/>
          <w:highlight w:val="none"/>
        </w:rPr>
      </w:pPr>
      <w:r>
        <w:rPr>
          <w:rFonts w:hint="eastAsia" w:ascii="黑体" w:hAnsi="宋体" w:eastAsia="黑体"/>
          <w:bCs/>
          <w:color w:val="ff0000"/>
          <w:sz w:val="28"/>
          <w:szCs w:val="28"/>
          <w:highlight w:val="none"/>
        </w:rPr>
      </w:r>
      <w:r/>
    </w:p>
    <w:p>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bookmarkStart w:id="263" w:name="OLE_LINK30"/>
      <w:r>
        <w:rPr>
          <w:rFonts w:hint="eastAsia" w:ascii="黑体" w:hAnsi="宋体" w:eastAsia="黑体"/>
          <w:bCs/>
          <w:color w:val="auto"/>
          <w:sz w:val="24"/>
          <w:szCs w:val="24"/>
          <w:highlight w:val="none"/>
        </w:rPr>
        <w:t xml:space="preserve">1、资格声明函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spacing w:before="156" w:after="156"/>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ind w:firstLine="240"/>
        <w:spacing w:line="480" w:lineRule="auto"/>
        <w:rPr>
          <w:rFonts w:ascii="宋体"/>
          <w:bCs/>
          <w:color w:val="auto"/>
          <w:sz w:val="24"/>
          <w:szCs w:val="24"/>
          <w:highlight w:val="none"/>
        </w:rPr>
      </w:pPr>
      <w:r>
        <w:rPr>
          <w:rFonts w:hint="eastAsia" w:ascii="宋体"/>
          <w:bCs/>
          <w:color w:val="auto"/>
          <w:sz w:val="24"/>
          <w:szCs w:val="24"/>
          <w:highlight w:val="none"/>
          <w:lang w:eastAsia="zh-CN"/>
        </w:rPr>
        <w:t xml:space="preserve">宜兴市自然资源和规划局</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我公司（单位）参加本次项目（项目编号</w:t>
      </w:r>
      <w:r>
        <w:rPr>
          <w:rFonts w:hint="eastAsia" w:ascii="宋体"/>
          <w:bCs/>
          <w:color w:val="auto"/>
          <w:sz w:val="24"/>
          <w:szCs w:val="24"/>
          <w:highlight w:val="none"/>
          <w:lang w:eastAsia="zh-CN"/>
        </w:rPr>
        <w:t xml:space="preserve">：JSZC-320282-ZDQY-C2025-000</w:t>
      </w: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政府采购活动前三年内在经营活动中没有重大违法记录；同时，提交响应文件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bCs/>
          <w:color w:val="auto"/>
          <w:sz w:val="24"/>
          <w:szCs w:val="24"/>
          <w:highlight w:val="none"/>
          <w:lang w:eastAsia="zh-CN"/>
        </w:rPr>
        <w:t xml:space="preserve">JSZC-320282-ZDQY-C2025-000</w:t>
      </w: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）进行报价，响应文件中所有关于报价资格的文件、证明、陈述均是真实的、准确的。若有违背，我公司（单位）</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同意监管部门做出的相关决定并承担由此而产生的一切后果。</w:t>
      </w:r>
      <w:r/>
    </w:p>
    <w:p>
      <w:pPr>
        <w:jc w:val="center"/>
        <w:spacing w:line="360" w:lineRule="auto"/>
        <w:rPr>
          <w:rFonts w:ascii="宋体"/>
          <w:bCs/>
          <w:color w:val="auto"/>
          <w:sz w:val="24"/>
          <w:highlight w:val="none"/>
        </w:rPr>
      </w:pPr>
      <w:r>
        <w:rPr>
          <w:rFonts w:hint="eastAsia" w:ascii="宋体"/>
          <w:bCs/>
          <w:color w:val="auto"/>
          <w:sz w:val="24"/>
          <w:highlight w:val="none"/>
        </w:rPr>
        <w:t xml:space="preserve">                                    </w:t>
      </w:r>
      <w:r/>
    </w:p>
    <w:p>
      <w:pPr>
        <w:jc w:val="center"/>
        <w:spacing w:line="360" w:lineRule="auto"/>
        <w:rPr>
          <w:color w:val="auto"/>
          <w:sz w:val="24"/>
          <w:szCs w:val="24"/>
          <w:highlight w:val="none"/>
        </w:rPr>
      </w:pPr>
      <w:r>
        <w:rPr>
          <w:rFonts w:hint="eastAsia" w:ascii="宋体" w:hAnsi="宋体"/>
          <w:bCs/>
          <w:color w:val="auto"/>
          <w:sz w:val="24"/>
          <w:highlight w:val="none"/>
        </w:rPr>
        <w:t xml:space="preserve">                               </w:t>
      </w:r>
      <w:r>
        <w:rPr>
          <w:color w:val="auto"/>
          <w:sz w:val="24"/>
          <w:szCs w:val="24"/>
          <w:highlight w:val="none"/>
        </w:rPr>
        <w:t xml:space="preserve">供应商（电子签章）：</w:t>
      </w:r>
      <w:r/>
    </w:p>
    <w:p>
      <w:pPr>
        <w:jc w:val="both"/>
        <w:spacing w:line="360" w:lineRule="auto"/>
        <w:rPr>
          <w:color w:val="auto"/>
          <w:sz w:val="24"/>
          <w:szCs w:val="24"/>
          <w:highlight w:val="none"/>
        </w:rPr>
      </w:pPr>
      <w:r/>
      <w:bookmarkStart w:id="264" w:name="OLE_LINK32"/>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13970" b="635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0" o:spid="_x0000_s0"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13970" b="635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bookmarkStart w:id="288" w:name="OLE_LINK33"/>
                            <w:r/>
                            <w:bookmarkStart w:id="289" w:name="_Hlk184149158"/>
                            <w:r/>
                            <w:bookmarkStart w:id="290" w:name="OLE_LINK34"/>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bookmarkEnd w:id="288"/>
                            <w:r/>
                            <w:bookmarkEnd w:id="289"/>
                            <w:r/>
                            <w:bookmarkEnd w:id="290"/>
                            <w:r/>
                            <w:bookmarkEnd w:id="264"/>
                            <w:r/>
                          </w:p>
                        </w:txbxContent>
                      </wps:txbx>
                      <wps:bodyPr upright="1"/>
                    </wps:wsp>
                  </a:graphicData>
                </a:graphic>
              </wp:anchor>
            </w:drawing>
          </mc:Choice>
          <mc:Fallback>
            <w:pict>
              <v:shape id="shape 1" o:spid="_x0000_s1"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bookmarkStart w:id="288" w:name="OLE_LINK33"/>
                      <w:r/>
                      <w:bookmarkStart w:id="289" w:name="_Hlk184149158"/>
                      <w:r/>
                      <w:bookmarkStart w:id="290" w:name="OLE_LINK34"/>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bookmarkEnd w:id="288"/>
                      <w:r/>
                      <w:bookmarkEnd w:id="289"/>
                      <w:r/>
                      <w:bookmarkEnd w:id="290"/>
                      <w:r/>
                      <w:bookmarkEnd w:id="264"/>
                      <w:r/>
                    </w:p>
                  </w:txbxContent>
                </v:textbox>
              </v:shape>
            </w:pict>
          </mc:Fallback>
        </mc:AlternateContent>
      </w:r>
      <w:r>
        <w:rPr>
          <w:rFonts w:hint="eastAsia"/>
          <w:color w:val="auto"/>
          <w:sz w:val="24"/>
          <w:szCs w:val="24"/>
          <w:highlight w:val="none"/>
        </w:rPr>
        <w:t xml:space="preserve">  </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ind w:firstLine="210"/>
        <w:rPr>
          <w:rFonts w:hint="eastAsia" w:ascii="黑体" w:hAnsi="宋体" w:eastAsia="黑体"/>
          <w:bCs/>
          <w:color w:val="auto"/>
          <w:sz w:val="24"/>
          <w:szCs w:val="24"/>
          <w:highlight w:val="none"/>
        </w:rPr>
      </w:pPr>
      <w:r>
        <w:rPr>
          <w:rFonts w:hint="eastAsia"/>
          <w:color w:val="auto"/>
          <w:highlight w:val="none"/>
        </w:rPr>
        <w:t xml:space="preserve">注：上述所称“重大违法记录”是指供应商因违法经营受到刑事处罚或者责令停产停业、吊销许可证或者执照、较大数额罚款等行政处罚。</w:t>
      </w:r>
      <w:bookmarkEnd w:id="261"/>
      <w:bookmarkEnd w:id="263"/>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pStyle w:val="691"/>
        <w:rPr>
          <w:rFonts w:ascii="黑体" w:eastAsia="黑体"/>
          <w:bCs/>
          <w:color w:val="auto"/>
          <w:sz w:val="24"/>
          <w:szCs w:val="24"/>
          <w:highlight w:val="none"/>
        </w:rPr>
      </w:pPr>
      <w:r>
        <w:rPr>
          <w:rFonts w:ascii="黑体" w:eastAsia="黑体"/>
          <w:bCs/>
          <w:color w:val="auto"/>
          <w:sz w:val="24"/>
          <w:szCs w:val="24"/>
          <w:highlight w:val="none"/>
        </w:rPr>
      </w:r>
      <w:r/>
    </w:p>
    <w:p>
      <w:pPr>
        <w:pStyle w:val="692"/>
        <w:rPr>
          <w:rFonts w:ascii="黑体" w:eastAsia="黑体"/>
          <w:bCs/>
          <w:color w:val="auto"/>
          <w:sz w:val="24"/>
          <w:szCs w:val="24"/>
          <w:highlight w:val="none"/>
        </w:rPr>
      </w:pPr>
      <w:r>
        <w:rPr>
          <w:rFonts w:ascii="黑体" w:eastAsia="黑体"/>
          <w:bCs/>
          <w:color w:val="auto"/>
          <w:sz w:val="24"/>
          <w:szCs w:val="24"/>
          <w:highlight w:val="none"/>
        </w:rPr>
      </w:r>
      <w:r/>
    </w:p>
    <w:p>
      <w:pPr>
        <w:pStyle w:val="692"/>
        <w:rPr>
          <w:rFonts w:ascii="黑体" w:eastAsia="黑体"/>
          <w:bCs/>
          <w:color w:val="auto"/>
          <w:sz w:val="24"/>
          <w:szCs w:val="24"/>
          <w:highlight w:val="none"/>
        </w:rPr>
      </w:pPr>
      <w:r>
        <w:rPr>
          <w:rFonts w:ascii="黑体" w:eastAsia="黑体"/>
          <w:bCs/>
          <w:color w:val="auto"/>
          <w:sz w:val="24"/>
          <w:szCs w:val="24"/>
          <w:highlight w:val="none"/>
        </w:rPr>
      </w:r>
      <w:r/>
    </w:p>
    <w:p>
      <w:pPr>
        <w:jc w:val="left"/>
        <w:widowControl/>
        <w:rPr>
          <w:rFonts w:hint="eastAsia" w:ascii="楷体_GB2312" w:eastAsia="楷体_GB2312"/>
          <w:bCs/>
          <w:color w:val="auto"/>
          <w:sz w:val="30"/>
          <w:highlight w:val="none"/>
        </w:rPr>
      </w:pPr>
      <w:r>
        <w:rPr>
          <w:rFonts w:hint="eastAsia" w:ascii="楷体_GB2312" w:eastAsia="楷体_GB2312"/>
          <w:bCs/>
          <w:color w:val="auto"/>
          <w:sz w:val="30"/>
          <w:highlight w:val="none"/>
        </w:rPr>
      </w:r>
      <w:r/>
    </w:p>
    <w:p>
      <w:pPr>
        <w:jc w:val="left"/>
        <w:widowControl/>
        <w:rPr>
          <w:rFonts w:ascii="黑体" w:eastAsia="黑体"/>
          <w:bCs/>
          <w:color w:val="auto"/>
          <w:sz w:val="24"/>
          <w:szCs w:val="24"/>
          <w:highlight w:val="none"/>
        </w:rPr>
      </w:pPr>
      <w:r>
        <w:rPr>
          <w:rFonts w:hint="eastAsia" w:ascii="楷体_GB2312" w:eastAsia="楷体_GB2312"/>
          <w:bCs/>
          <w:color w:val="auto"/>
          <w:sz w:val="30"/>
          <w:highlight w:val="none"/>
        </w:rPr>
        <w:t xml:space="preserve">               </w:t>
      </w:r>
      <w:r/>
    </w:p>
    <w:p>
      <w:pPr>
        <w:jc w:val="left"/>
        <w:spacing w:line="360" w:lineRule="auto"/>
        <w:rPr>
          <w:rFonts w:ascii="黑体" w:eastAsia="黑体"/>
          <w:bCs/>
          <w:color w:val="auto"/>
          <w:sz w:val="28"/>
          <w:szCs w:val="28"/>
          <w:highlight w:val="none"/>
        </w:rPr>
      </w:pPr>
      <w:r/>
      <w:bookmarkStart w:id="265" w:name="OLE_LINK35"/>
      <w:r>
        <w:rPr>
          <w:rFonts w:hint="eastAsia" w:ascii="黑体" w:eastAsia="黑体"/>
          <w:bCs/>
          <w:color w:val="auto"/>
          <w:sz w:val="24"/>
          <w:szCs w:val="24"/>
          <w:highlight w:val="none"/>
        </w:rPr>
        <w:t xml:space="preserve">2、法定代表人授权书1（格式）</w:t>
      </w:r>
      <w:r/>
    </w:p>
    <w:p>
      <w:pPr>
        <w:jc w:val="center"/>
        <w:spacing w:before="156" w:after="156"/>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spacing w:before="156" w:after="156"/>
        <w:rPr>
          <w:rFonts w:ascii="黑体" w:eastAsia="黑体"/>
          <w:color w:val="auto"/>
          <w:sz w:val="28"/>
          <w:szCs w:val="28"/>
          <w:highlight w:val="none"/>
        </w:rPr>
      </w:pPr>
      <w:r>
        <w:rPr>
          <w:rFonts w:ascii="黑体" w:eastAsia="黑体"/>
          <w:color w:val="auto"/>
          <w:sz w:val="28"/>
          <w:szCs w:val="28"/>
          <w:highlight w:val="none"/>
        </w:rPr>
      </w:r>
      <w:r/>
    </w:p>
    <w:p>
      <w:pPr>
        <w:ind w:firstLine="480"/>
        <w:spacing w:line="360" w:lineRule="auto"/>
        <w:tabs>
          <w:tab w:val="left" w:pos="255" w:leader="none"/>
        </w:tabs>
        <w:rPr>
          <w:rFonts w:ascii="宋体"/>
          <w:color w:val="auto"/>
          <w:sz w:val="24"/>
          <w:szCs w:val="24"/>
          <w:highlight w:val="none"/>
          <w:lang w:val="zh-CN"/>
        </w:rPr>
      </w:pPr>
      <w:r>
        <w:rPr>
          <w:rFonts w:hint="eastAsia" w:ascii="宋体"/>
          <w:bCs/>
          <w:color w:val="auto"/>
          <w:sz w:val="24"/>
          <w:szCs w:val="24"/>
          <w:highlight w:val="none"/>
          <w:lang w:eastAsia="zh-CN"/>
        </w:rPr>
        <w:t xml:space="preserve">宜兴市自然资源和规划局</w:t>
      </w:r>
      <w:r>
        <w:rPr>
          <w:rFonts w:hint="eastAsia" w:ascii="宋体"/>
          <w:bCs/>
          <w:color w:val="auto"/>
          <w:sz w:val="24"/>
          <w:szCs w:val="24"/>
          <w:highlight w:val="none"/>
        </w:rPr>
        <w:t xml:space="preserve">、</w:t>
      </w:r>
      <w:r>
        <w:rPr>
          <w:rFonts w:hint="eastAsia" w:ascii="宋体"/>
          <w:color w:val="auto"/>
          <w:sz w:val="24"/>
          <w:szCs w:val="24"/>
          <w:highlight w:val="none"/>
          <w:lang w:val="en-US" w:eastAsia="zh-CN"/>
        </w:rPr>
        <w:t xml:space="preserve">宜兴市中达企业管理咨询服务有限公司</w:t>
      </w:r>
      <w:r>
        <w:rPr>
          <w:rFonts w:hint="eastAsia" w:ascii="宋体"/>
          <w:color w:val="auto"/>
          <w:sz w:val="24"/>
          <w:szCs w:val="24"/>
          <w:highlight w:val="none"/>
          <w:lang w:val="zh-CN"/>
        </w:rPr>
        <w:t xml:space="preserve">：</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代表我公司（单位）全权办理针对宜兴市自然资源和规划局</w:t>
      </w:r>
      <w:r>
        <w:rPr>
          <w:rFonts w:hint="eastAsia" w:ascii="宋体" w:hAnsi="宋体"/>
          <w:color w:val="auto"/>
          <w:sz w:val="24"/>
          <w:szCs w:val="21"/>
          <w:highlight w:val="none"/>
          <w:u w:val="single"/>
          <w:lang w:val="zh-CN"/>
        </w:rPr>
        <w:t xml:space="preserve">宜兴市自然资源和规划局档案数字化服务项目</w:t>
      </w:r>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zh-CN" w:eastAsia="zh-CN"/>
        </w:rPr>
        <w:t xml:space="preserve">JSZC-320282-ZDQY-C2025-000</w:t>
      </w:r>
      <w:r>
        <w:rPr>
          <w:rFonts w:hint="eastAsia" w:ascii="宋体" w:hAnsi="宋体"/>
          <w:color w:val="auto"/>
          <w:sz w:val="24"/>
          <w:szCs w:val="21"/>
          <w:highlight w:val="none"/>
          <w:lang w:val="en-US" w:eastAsia="zh-CN"/>
        </w:rPr>
        <w:t xml:space="preserve">4</w:t>
      </w:r>
      <w:r>
        <w:rPr>
          <w:rFonts w:hint="eastAsia" w:ascii="宋体" w:hAnsi="宋体"/>
          <w:color w:val="auto"/>
          <w:sz w:val="24"/>
          <w:szCs w:val="21"/>
          <w:highlight w:val="none"/>
          <w:lang w:val="zh-CN"/>
        </w:rPr>
        <w:t xml:space="preserve">）的磋商报价，以我方名义签署、确认、澄清、提交、撤回、修改相关文件和处理有关事宜，其法律后果由我方承担。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供应商（电子签章）：</w:t>
      </w:r>
      <w:r/>
    </w:p>
    <w:p>
      <w:pPr>
        <w:ind w:left="420" w:firstLine="55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日期：</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年</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月</w:t>
      </w:r>
      <w:bookmarkStart w:id="266" w:name="_Hlk132640470"/>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日  </w:t>
      </w:r>
      <w:bookmarkEnd w:id="265"/>
      <w:r>
        <w:rPr>
          <w:rFonts w:hint="eastAsia" w:ascii="宋体" w:hAnsi="宋体"/>
          <w:color w:val="auto"/>
          <w:sz w:val="24"/>
          <w:szCs w:val="21"/>
          <w:highlight w:val="none"/>
          <w:lang w:val="zh-CN"/>
        </w:rPr>
        <w:t xml:space="preserve">               </w:t>
      </w:r>
      <w:r>
        <w:rPr>
          <w:rFonts w:ascii="宋体" w:hAnsi="宋体"/>
          <w:color w:val="auto"/>
          <w:sz w:val="24"/>
          <w:szCs w:val="21"/>
          <w:highlight w:val="none"/>
          <w:lang w:val="zh-CN"/>
        </w:rPr>
        <w:t xml:space="preserve">           </w:t>
      </w:r>
      <w:bookmarkEnd w:id="266"/>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7145" b="6985"/>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13970" b="635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bookmarkStart w:id="291" w:name="OLE_LINK36"/>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bookmarkEnd w:id="291"/>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3" o:spid="_x0000_s3"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bookmarkStart w:id="291" w:name="OLE_LINK36"/>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bookmarkEnd w:id="291"/>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bookmarkStart w:id="267" w:name="OLE_LINK40"/>
      <w:r>
        <w:rPr>
          <w:rFonts w:hint="eastAsia" w:ascii="宋体" w:hAnsi="宋体"/>
          <w:color w:val="auto"/>
          <w:sz w:val="24"/>
          <w:szCs w:val="21"/>
          <w:highlight w:val="none"/>
          <w:lang w:val="zh-CN"/>
        </w:rPr>
        <w:t xml:space="preserve">详见第二章供应商须知相关要求</w:t>
      </w:r>
      <w:bookmarkEnd w:id="267"/>
      <w:r/>
      <w:r/>
    </w:p>
    <w:p>
      <w:pPr>
        <w:jc w:val="left"/>
        <w:rPr>
          <w:color w:val="auto"/>
          <w:sz w:val="24"/>
          <w:szCs w:val="24"/>
          <w:highlight w:val="none"/>
        </w:rPr>
      </w:pPr>
      <w:r>
        <w:rPr>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w:t>
      </w:r>
      <w:bookmarkStart w:id="268" w:name="_Hlk139983712"/>
      <w:r>
        <w:rPr>
          <w:rFonts w:hint="eastAsia" w:ascii="宋体" w:hAnsi="宋体"/>
          <w:color w:val="auto"/>
          <w:sz w:val="24"/>
          <w:szCs w:val="21"/>
          <w:highlight w:val="none"/>
          <w:lang w:val="zh-CN"/>
        </w:rPr>
        <w:t xml:space="preserve">供应商</w:t>
      </w:r>
      <w:bookmarkEnd w:id="268"/>
      <w:r>
        <w:rPr>
          <w:rFonts w:hint="eastAsia" w:ascii="宋体" w:hAnsi="宋体"/>
          <w:color w:val="auto"/>
          <w:sz w:val="24"/>
          <w:szCs w:val="21"/>
          <w:highlight w:val="none"/>
          <w:lang w:val="zh-CN"/>
        </w:rPr>
        <w:t xml:space="preserve">须知要求提供相关证明材料</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按第二章供应商须知要求提供相关证明材料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bookmarkStart w:id="269" w:name="OLE_LINK42"/>
      <w:r>
        <w:rPr>
          <w:rFonts w:hint="eastAsia" w:ascii="宋体" w:hAnsi="宋体"/>
          <w:color w:val="auto"/>
          <w:sz w:val="24"/>
          <w:szCs w:val="21"/>
          <w:highlight w:val="none"/>
          <w:lang w:val="zh-CN"/>
        </w:rPr>
        <w:t xml:space="preserve">按第二章供应商须知要求提供相关证明材料</w:t>
      </w:r>
      <w:bookmarkEnd w:id="269"/>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按第二章供应商须知要求提供相关证明材料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numPr>
          <w:ilvl w:val="0"/>
          <w:numId w:val="0"/>
        </w:num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lang w:val="zh-CN" w:eastAsia="zh-CN"/>
        </w:rPr>
        <w:t xml:space="preserve">8、</w:t>
      </w:r>
      <w:r>
        <w:rPr>
          <w:rFonts w:hint="eastAsia" w:ascii="黑体" w:hAnsi="宋体" w:eastAsia="黑体"/>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详见第二章供应商须知相关要求</w:t>
      </w:r>
      <w:r/>
    </w:p>
    <w:p>
      <w:pPr>
        <w:numPr>
          <w:ilvl w:val="0"/>
          <w:numId w:val="0"/>
        </w:numPr>
        <w:spacing w:line="360" w:lineRule="auto"/>
        <w:rPr>
          <w:rFonts w:ascii="黑体" w:eastAsia="黑体"/>
          <w:bCs/>
          <w:color w:val="auto"/>
          <w:sz w:val="24"/>
          <w:szCs w:val="24"/>
          <w:highlight w:val="none"/>
        </w:rPr>
      </w:pPr>
      <w:r>
        <w:rPr>
          <w:rFonts w:ascii="黑体" w:eastAsia="黑体"/>
          <w:bCs/>
          <w:color w:val="auto"/>
          <w:sz w:val="24"/>
          <w:szCs w:val="24"/>
          <w:highlight w:val="none"/>
        </w:rPr>
        <w:br w:type="page" w:clear="all"/>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    联合体协议书</w:t>
      </w:r>
      <w:r/>
    </w:p>
    <w:p>
      <w:pPr>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270" w:name="_Hlk144983351"/>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 xml:space="preserve">自愿组成联合体，共同参加本项目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 </w:t>
      </w:r>
      <w:r>
        <w:rPr>
          <w:rFonts w:hint="eastAsia" w:ascii="宋体" w:hAnsi="宋体"/>
          <w:bCs/>
          <w:color w:val="auto"/>
          <w:sz w:val="24"/>
          <w:szCs w:val="24"/>
          <w:highlight w:val="none"/>
          <w:lang w:eastAsia="zh-CN"/>
        </w:rPr>
        <w:t xml:space="preserve">JSZC-320282-ZDQY-C2025-000</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的报价。现就联合体报价事宜订立如下协议。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为本次报价的主体单位，联合体以主体单位的名义参加报价。</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271" w:name="_Hlk144982230"/>
      <w:r>
        <w:rPr>
          <w:rFonts w:hint="eastAsia" w:ascii="宋体" w:hAnsi="宋体"/>
          <w:color w:val="auto"/>
          <w:sz w:val="24"/>
          <w:szCs w:val="21"/>
          <w:highlight w:val="none"/>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竞争性磋商方式采购活动所签署的一切文件和处理与本次采购有关的一切事务，联合体各方均予以承认并承担法律责任。</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3、联合体将严格按照采购文件的各项要求，提交响应文件，履行合同，并对外承担连带责任。</w:t>
      </w:r>
      <w:bookmarkEnd w:id="270"/>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8"/>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、本协议书自签署之日起生效，至本次竞争性磋商有关事务结束且合同履行完毕后自动失效。</w:t>
      </w:r>
      <w:bookmarkEnd w:id="271"/>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hint="eastAsia"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日期：___年___月___日</w:t>
      </w:r>
      <w:r/>
    </w:p>
    <w:p>
      <w:pPr>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注：如采购人要求组成联合体或采购人允许组成联合体且供应商组成联合体的，应提供有效的联合体协议书，否则无需提供。</w:t>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、分包情况说明（格式）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560"/>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w:t>
      </w:r>
      <w:r>
        <w:rPr>
          <w:rFonts w:hint="eastAsia" w:ascii="宋体"/>
          <w:color w:val="auto"/>
          <w:sz w:val="24"/>
          <w:szCs w:val="28"/>
          <w:highlight w:val="none"/>
          <w:lang w:eastAsia="zh-CN"/>
        </w:rPr>
        <w:t xml:space="preserve">JSZC-320282-ZDQY-C2025-000</w:t>
      </w:r>
      <w:r>
        <w:rPr>
          <w:rFonts w:hint="eastAsia" w:ascii="宋体"/>
          <w:color w:val="auto"/>
          <w:sz w:val="24"/>
          <w:szCs w:val="28"/>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磋商文件的规定和采购项目的实际情况，拟在成交后将成交项目的非主体、非关键性工作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进行分包，分包承担主体为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r>
        <w:rPr>
          <w:color w:val="auto"/>
          <w:sz w:val="24"/>
          <w:szCs w:val="24"/>
          <w:highlight w:val="none"/>
        </w:rPr>
        <w:t xml:space="preserve">供应商（电子签章）：</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272" w:name="OLE_LINK203"/>
      <w:r/>
      <w:bookmarkEnd w:id="272"/>
      <w:r/>
      <w:r/>
    </w:p>
    <w:p>
      <w:pPr>
        <w:ind w:left="420" w:firstLine="480"/>
        <w:jc w:val="center"/>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注：如采购人要求分包或采购人允许分包且供应商有分包意向的，应提供有效的分包情况说明，否则无需提供。</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bookmarkStart w:id="273" w:name="_Hlk131843680"/>
      <w:r/>
      <w:bookmarkStart w:id="274" w:name="_Hlk130922293"/>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bookmarkEnd w:id="273"/>
      <w:bookmarkEnd w:id="274"/>
      <w:r/>
    </w:p>
    <w:p>
      <w:pP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注：如专门面向中小企业采购的，供应商应提供有效的《中小企业声明函》（格式见本章“价格折扣文件”附件1），或《残疾人福利性单位声明函》（格式见本章“价格折扣文件”附件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bookmarkStart w:id="275" w:name="OLE_LINK44"/>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、响应函（格式）：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响应函</w:t>
      </w:r>
      <w:r/>
    </w:p>
    <w:p>
      <w:pPr>
        <w:ind w:firstLine="240"/>
        <w:spacing w:line="360" w:lineRule="auto"/>
        <w:rPr>
          <w:rFonts w:ascii="宋体"/>
          <w:bCs/>
          <w:color w:val="auto"/>
          <w:sz w:val="24"/>
          <w:highlight w:val="none"/>
          <w:lang w:val="zh-CN"/>
        </w:rPr>
      </w:pPr>
      <w:r>
        <w:rPr>
          <w:rFonts w:hint="eastAsia" w:ascii="宋体"/>
          <w:bCs/>
          <w:color w:val="auto"/>
          <w:sz w:val="24"/>
          <w:highlight w:val="none"/>
          <w:lang w:val="zh-CN"/>
        </w:rPr>
        <w:t xml:space="preserve">致宜兴市自然资源和规划局、</w:t>
      </w:r>
      <w:r>
        <w:rPr>
          <w:rFonts w:hint="eastAsia" w:ascii="宋体"/>
          <w:color w:val="auto"/>
          <w:sz w:val="24"/>
          <w:szCs w:val="24"/>
          <w:highlight w:val="none"/>
          <w:lang w:val="en-US" w:eastAsia="zh-CN"/>
        </w:rPr>
        <w:t xml:space="preserve">宜兴市中达企业管理咨询服务有限公司</w:t>
      </w:r>
      <w:r>
        <w:rPr>
          <w:rFonts w:hint="eastAsia" w:ascii="宋体"/>
          <w:bCs/>
          <w:color w:val="auto"/>
          <w:sz w:val="24"/>
          <w:highlight w:val="none"/>
          <w:lang w:val="zh-CN"/>
        </w:rPr>
        <w:t xml:space="preserve">：</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hAnsi="宋体"/>
          <w:bCs/>
          <w:color w:val="auto"/>
          <w:sz w:val="24"/>
          <w:highlight w:val="none"/>
          <w:lang w:val="zh-CN" w:eastAsia="zh-CN"/>
        </w:rPr>
        <w:t xml:space="preserve">JSZC-320282-ZDQY-C2025-000</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磋商文件，经仔细阅读和研究，我方决定参加报价。</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bookmarkStart w:id="276" w:name="OLE_LINK233"/>
      <w:r/>
      <w:bookmarkStart w:id="277" w:name="OLE_LINK115"/>
      <w:r>
        <w:rPr>
          <w:rFonts w:hint="eastAsia" w:ascii="宋体" w:hAnsi="宋体"/>
          <w:bCs/>
          <w:color w:val="auto"/>
          <w:sz w:val="24"/>
          <w:highlight w:val="none"/>
          <w:lang w:val="zh-CN"/>
        </w:rPr>
        <w:t xml:space="preserve">我方愿意按照磋商文件的一切要求，提供服务，总报价详见《磋商报价表》。</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我方已对照采购要求，</w:t>
      </w:r>
      <w:bookmarkStart w:id="278" w:name="_Hlk131935586"/>
      <w:r>
        <w:rPr>
          <w:rFonts w:hint="eastAsia" w:ascii="宋体" w:hAnsi="宋体"/>
          <w:bCs/>
          <w:color w:val="auto"/>
          <w:sz w:val="24"/>
          <w:highlight w:val="none"/>
          <w:lang w:val="zh-CN"/>
        </w:rPr>
        <w:t xml:space="preserve">填写了报价服务的偏离情况，详见</w:t>
      </w:r>
      <w:bookmarkEnd w:id="278"/>
      <w:r>
        <w:rPr>
          <w:rFonts w:hint="eastAsia" w:ascii="宋体" w:hAnsi="宋体"/>
          <w:bCs/>
          <w:color w:val="auto"/>
          <w:sz w:val="24"/>
          <w:highlight w:val="none"/>
          <w:lang w:val="zh-CN"/>
        </w:rPr>
        <w:t xml:space="preserve">《项目技术要求偏离表》。</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rPr>
        <w:t xml:space="preserve">我方参与报价即表示认可并遵守本磋商文件的所有规定，不再对磋商文件及相关补充更正文件提出质疑和投诉。</w:t>
      </w:r>
      <w:r>
        <w:rPr>
          <w:rFonts w:hint="eastAsia" w:ascii="宋体" w:hAnsi="宋体"/>
          <w:bCs/>
          <w:color w:val="auto"/>
          <w:sz w:val="24"/>
          <w:highlight w:val="none"/>
          <w:lang w:val="zh-CN"/>
        </w:rPr>
        <w:t xml:space="preserve">我方响应文件的有效期为响应文件提交截止之日起的60天（含提交截止当日），在特殊情况下，可与贵方协商延长响应文件的有效期。</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如果我方的响应文件被接受，我方将履行磋商文件、响应文件中规定的每一项要求，按期、按质、按量、按地点，完成服务任务。</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我方愿意根据贵方及磋商小组的要求，提供响应文件中所有材料的原件及相关证明性资料，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我方认为采购人有权确定成交供应商。</w:t>
      </w:r>
      <w:r>
        <w:rPr>
          <w:rFonts w:hint="eastAsia" w:ascii="宋体" w:hAnsi="宋体"/>
          <w:bCs/>
          <w:color w:val="auto"/>
          <w:sz w:val="24"/>
          <w:szCs w:val="24"/>
          <w:highlight w:val="none"/>
          <w:lang w:val="zh-CN"/>
        </w:rPr>
        <w:t xml:space="preserve">除因不可抗力或磋商文件认可的情形以外，我方绝不放弃成交资格</w:t>
      </w:r>
      <w:r>
        <w:rPr>
          <w:rFonts w:hint="eastAsia" w:ascii="宋体" w:hAnsi="宋体"/>
          <w:bCs/>
          <w:color w:val="auto"/>
          <w:sz w:val="24"/>
          <w:highlight w:val="none"/>
          <w:lang w:val="zh-CN"/>
        </w:rPr>
        <w:t xml:space="preserve">。</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我方愿意按《中华人民共和国民法典》和合同条款履行自己的全部责任。</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如果我方成交，我方愿意遵守磋商文件和成交通知书的规定，在指定时间和地点与采购人签订合同，并在签订合同前按磋商文件的规定交纳履约保证金。</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9"/>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814"/>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814"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814"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0"/>
        </w:numPr>
        <w:ind w:left="222" w:firstLine="24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12.</w:t>
      </w:r>
      <w:r>
        <w:rPr>
          <w:rFonts w:hint="eastAsia" w:ascii="宋体" w:hAnsi="宋体"/>
          <w:bCs/>
          <w:color w:val="auto"/>
          <w:sz w:val="24"/>
          <w:highlight w:val="none"/>
          <w:lang w:val="zh-CN"/>
        </w:rPr>
        <w:t xml:space="preserve">与本报价有关的一切正式往来函电，请联系：</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3"/>
        <w:gridCol w:w="2913"/>
        <w:gridCol w:w="1252"/>
        <w:gridCol w:w="3816"/>
      </w:tblGrid>
      <w:tr>
        <w:trPr>
          <w:jc w:val="center"/>
        </w:trPr>
        <w:tc>
          <w:tcPr>
            <w:tcW w:w="1623" w:type="dxa"/>
            <w:vAlign w:val="center"/>
            <w:textDirection w:val="lrTb"/>
            <w:noWrap w:val="false"/>
          </w:tcPr>
          <w:p>
            <w:pPr>
              <w:jc w:val="center"/>
              <w:spacing w:line="360" w:lineRule="auto"/>
              <w:rPr>
                <w:rFonts w:hint="eastAsia" w:ascii="宋体" w:hAnsi="宋体"/>
                <w:bCs/>
                <w:color w:val="auto"/>
                <w:sz w:val="24"/>
                <w:highlight w:val="none"/>
                <w:lang w:val="zh-CN"/>
              </w:rPr>
            </w:pPr>
            <w:r/>
            <w:bookmarkStart w:id="279"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816"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6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816"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6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816"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6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816"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6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981"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6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bookmarkEnd w:id="276"/>
            <w:bookmarkEnd w:id="277"/>
            <w:bookmarkEnd w:id="279"/>
            <w:r/>
          </w:p>
        </w:tc>
        <w:tc>
          <w:tcPr>
            <w:tcW w:w="3816"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ind w:left="5460" w:hanging="5460"/>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供应商（电子签章）：</w:t>
      </w:r>
      <w:bookmarkEnd w:id="275"/>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jc w:val="left"/>
        <w:spacing w:line="360" w:lineRule="auto"/>
        <w:rPr>
          <w:rFonts w:hint="eastAsia" w:ascii="黑体" w:hAnsi="宋体" w:eastAsia="黑体"/>
          <w:bCs/>
          <w:color w:val="auto"/>
          <w:sz w:val="28"/>
          <w:szCs w:val="28"/>
          <w:highlight w:val="none"/>
          <w:lang w:val="zh-CN"/>
        </w:rPr>
      </w:pPr>
      <w:r>
        <w:rPr>
          <w:rFonts w:hint="eastAsia" w:ascii="黑体" w:hAnsi="宋体" w:eastAsia="黑体"/>
          <w:bCs/>
          <w:color w:val="auto"/>
          <w:sz w:val="24"/>
          <w:szCs w:val="24"/>
          <w:highlight w:val="none"/>
          <w:lang w:val="en-US" w:eastAsia="zh-CN"/>
        </w:rPr>
        <w:t xml:space="preserve">2</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0"/>
        <w:gridCol w:w="2265"/>
        <w:gridCol w:w="2253"/>
        <w:gridCol w:w="2217"/>
        <w:gridCol w:w="1990"/>
      </w:tblGrid>
      <w:tr>
        <w:trPr>
          <w:jc w:val="center"/>
          <w:trHeight w:val="930"/>
        </w:trPr>
        <w:tc>
          <w:tcPr>
            <w:tcW w:w="1640"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226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25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采购内容</w:t>
            </w:r>
            <w:r/>
          </w:p>
        </w:tc>
        <w:tc>
          <w:tcPr>
            <w:tcW w:w="221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报价内容</w:t>
            </w:r>
            <w:r/>
          </w:p>
        </w:tc>
        <w:tc>
          <w:tcPr>
            <w:tcW w:w="1990"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1640"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6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5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1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90"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1640"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6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5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1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90"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1640"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6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5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1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90"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1640"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6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5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1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90"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1640"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6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5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21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90"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黑体" w:hAnsi="宋体" w:eastAsia="黑体"/>
          <w:bCs/>
          <w:color w:val="auto"/>
          <w:sz w:val="24"/>
          <w:szCs w:val="24"/>
          <w:highlight w:val="none"/>
        </w:rPr>
      </w:pPr>
      <w:r>
        <w:rPr>
          <w:rFonts w:hint="eastAsia" w:ascii="宋体" w:hAnsi="宋体"/>
          <w:bCs/>
          <w:color w:val="auto"/>
          <w:sz w:val="24"/>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ascii="宋体" w:hAnsi="宋体"/>
          <w:bCs/>
          <w:color w:val="auto"/>
          <w:sz w:val="24"/>
          <w:highlight w:val="none"/>
        </w:rPr>
        <w:t xml:space="preserve">供应商（电子签章）：</w:t>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）供应商应对照磋商文件第</w:t>
      </w:r>
      <w:r>
        <w:rPr>
          <w:rFonts w:hint="eastAsia" w:ascii="宋体" w:hAnsi="宋体"/>
          <w:bCs/>
          <w:color w:val="auto"/>
          <w:szCs w:val="21"/>
          <w:highlight w:val="none"/>
        </w:rPr>
        <w:t xml:space="preserve">三</w:t>
      </w:r>
      <w:r>
        <w:rPr>
          <w:rFonts w:hint="eastAsia" w:ascii="宋体" w:hAnsi="宋体"/>
          <w:bCs/>
          <w:color w:val="auto"/>
          <w:szCs w:val="21"/>
          <w:highlight w:val="none"/>
          <w:lang w:val="zh-CN"/>
        </w:rPr>
        <w:t xml:space="preserve">章“项目技术要求和有关说明”的相关要求，将自身响应的偏离情况（与磋商文件要求不一致的地方）详细填入上表，并注明“正偏离/负偏离”；若未填写上表，视为完全响应。</w:t>
      </w:r>
      <w:r/>
    </w:p>
    <w:p>
      <w:pPr>
        <w:ind w:firstLine="420"/>
        <w:jc w:val="left"/>
        <w:spacing w:line="360" w:lineRule="auto"/>
        <w:tabs>
          <w:tab w:val="left" w:pos="255" w:leader="none"/>
        </w:tabs>
        <w:rPr>
          <w:rFonts w:hint="eastAsia" w:ascii="黑体" w:hAnsi="宋体" w:eastAsia="黑体"/>
          <w:bCs/>
          <w:color w:val="auto"/>
          <w:sz w:val="24"/>
          <w:szCs w:val="24"/>
          <w:highlight w:val="none"/>
        </w:rPr>
      </w:pPr>
      <w:r>
        <w:rPr>
          <w:rFonts w:hint="eastAsia" w:ascii="宋体" w:hAnsi="宋体"/>
          <w:bCs/>
          <w:color w:val="auto"/>
          <w:szCs w:val="21"/>
          <w:highlight w:val="none"/>
        </w:rPr>
        <w:t xml:space="preserve">（2）磋商文件第三章“项目技术要求和有关说明”中若有要求提供相关证明材料的必须提供，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en-US" w:eastAsia="zh-CN"/>
        </w:rPr>
        <w:t xml:space="preserve">3</w:t>
      </w:r>
      <w:r>
        <w:rPr>
          <w:rFonts w:hint="eastAsia" w:ascii="黑体" w:hAnsi="宋体" w:eastAsia="黑体"/>
          <w:bCs/>
          <w:color w:val="auto"/>
          <w:sz w:val="24"/>
          <w:szCs w:val="24"/>
          <w:highlight w:val="none"/>
          <w:lang w:val="zh-CN"/>
        </w:rPr>
        <w:t xml:space="preserve">、项目人员配置清单（格式）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bookmarkStart w:id="280" w:name="OLE_LINK45"/>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 日期：</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1130"/>
        <w:gridCol w:w="1185"/>
        <w:gridCol w:w="1134"/>
        <w:gridCol w:w="1276"/>
        <w:gridCol w:w="1134"/>
        <w:gridCol w:w="992"/>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宋体" w:hAnsi="宋体"/>
          <w:color w:val="auto"/>
          <w:highlight w:val="none"/>
        </w:rPr>
      </w:pPr>
      <w:r>
        <w:rPr>
          <w:rFonts w:hint="eastAsia" w:ascii="宋体" w:hAnsi="宋体"/>
          <w:color w:val="auto"/>
          <w:highlight w:val="none"/>
        </w:rPr>
      </w:r>
      <w:r/>
    </w:p>
    <w:p>
      <w:pPr>
        <w:spacing w:line="440" w:lineRule="exact"/>
        <w:rPr>
          <w:rFonts w:hint="eastAsia"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81" w:name="_Hlk164083408"/>
      <w:r>
        <w:rPr>
          <w:rFonts w:hint="eastAsia" w:ascii="宋体" w:hAnsi="宋体"/>
          <w:b/>
          <w:bCs/>
          <w:color w:val="auto"/>
          <w:highlight w:val="none"/>
        </w:rPr>
        <w:t xml:space="preserve">应按磋商文件要求配备项目人员及提供相关证明材料，以满足项目的</w:t>
      </w:r>
      <w:bookmarkEnd w:id="281"/>
      <w:r>
        <w:rPr>
          <w:rFonts w:hint="eastAsia" w:ascii="宋体" w:hAnsi="宋体"/>
          <w:b/>
          <w:bCs/>
          <w:color w:val="auto"/>
          <w:highlight w:val="none"/>
        </w:rPr>
        <w:t xml:space="preserve">基准要求，否则报价无效。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left"/>
        <w:widowControl/>
        <w:rPr>
          <w:rFonts w:hint="eastAsia" w:ascii="宋体" w:hAnsi="宋体"/>
          <w:bCs/>
          <w:color w:val="auto"/>
          <w:sz w:val="24"/>
          <w:highlight w:val="none"/>
          <w:lang w:val="zh-CN"/>
        </w:rPr>
      </w:pPr>
      <w:r>
        <w:rPr>
          <w:rFonts w:hint="eastAsia" w:ascii="宋体" w:hAnsi="宋体"/>
          <w:bCs/>
          <w:color w:val="auto"/>
          <w:sz w:val="24"/>
          <w:highlight w:val="none"/>
          <w:lang w:val="zh-CN"/>
        </w:rPr>
        <w:t xml:space="preserve">                                         供应商（电子签章）：</w:t>
      </w:r>
      <w:bookmarkEnd w:id="280"/>
      <w:r/>
      <w:r/>
    </w:p>
    <w:p>
      <w:pPr>
        <w:jc w:val="left"/>
        <w:widowControl/>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widowControl/>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widowControl/>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widowControl/>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widowControl/>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widowControl/>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jc w:val="left"/>
        <w:widowControl/>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spacing w:after="156"/>
        <w:rPr>
          <w:rFonts w:hint="eastAsia" w:ascii="宋体" w:hAnsi="宋体"/>
          <w:color w:val="auto"/>
          <w:sz w:val="24"/>
          <w:szCs w:val="24"/>
          <w:highlight w:val="none"/>
          <w:lang w:val="zh-CN"/>
        </w:rPr>
      </w:pPr>
      <w:r>
        <w:rPr>
          <w:rFonts w:hint="eastAsia" w:ascii="黑体" w:hAnsi="宋体" w:eastAsia="黑体"/>
          <w:bCs/>
          <w:color w:val="auto"/>
          <w:sz w:val="28"/>
          <w:szCs w:val="28"/>
          <w:highlight w:val="none"/>
        </w:rPr>
        <w:t xml:space="preserve">企业报价折扣证明</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1574"/>
        <w:gridCol w:w="2436"/>
        <w:gridCol w:w="4612"/>
      </w:tblGrid>
      <w:tr>
        <w:trPr>
          <w:jc w:val="center"/>
          <w:trHeight w:val="672"/>
        </w:trPr>
        <w:tc>
          <w:tcPr>
            <w:tcW w:w="13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574"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企业性质</w:t>
            </w:r>
            <w:r/>
          </w:p>
        </w:tc>
        <w:tc>
          <w:tcPr>
            <w:tcW w:w="243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4612"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响应文件中需要提供的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r>
      <w:tr>
        <w:trPr>
          <w:jc w:val="center"/>
          <w:trHeight w:val="1219"/>
        </w:trPr>
        <w:tc>
          <w:tcPr>
            <w:tcW w:w="1350" w:type="dxa"/>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p>
        </w:tc>
        <w:tc>
          <w:tcPr>
            <w:tcW w:w="1574"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小微型企业</w:t>
            </w:r>
            <w:r/>
          </w:p>
        </w:tc>
        <w:tc>
          <w:tcPr>
            <w:tcW w:w="243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4612"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282" w:name="OLE_LINK72"/>
            <w:r>
              <w:rPr>
                <w:rFonts w:hint="eastAsia" w:ascii="宋体" w:hAnsi="宋体" w:cs="宋体"/>
                <w:bCs/>
                <w:color w:val="auto"/>
                <w:szCs w:val="21"/>
                <w:highlight w:val="none"/>
              </w:rPr>
              <w:t xml:space="preserve">《中小企业声明函》</w:t>
            </w:r>
            <w:bookmarkEnd w:id="282"/>
            <w:r/>
            <w:bookmarkStart w:id="283" w:name="OLE_LINK65"/>
            <w:r>
              <w:rPr>
                <w:rFonts w:hint="eastAsia" w:ascii="宋体" w:hAnsi="宋体" w:cs="宋体"/>
                <w:bCs/>
                <w:color w:val="auto"/>
                <w:szCs w:val="21"/>
                <w:highlight w:val="none"/>
              </w:rPr>
              <w:t xml:space="preserve">（格式见附件1）</w:t>
            </w:r>
            <w:bookmarkEnd w:id="283"/>
            <w:r/>
            <w:r/>
          </w:p>
        </w:tc>
      </w:tr>
      <w:tr>
        <w:trPr>
          <w:jc w:val="center"/>
          <w:trHeight w:val="1340"/>
        </w:trPr>
        <w:tc>
          <w:tcPr>
            <w:tcW w:w="1350" w:type="dxa"/>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p>
        </w:tc>
        <w:tc>
          <w:tcPr>
            <w:tcW w:w="1574"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4612"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284" w:name="OLE_LINK73"/>
            <w:r>
              <w:rPr>
                <w:rFonts w:hint="eastAsia" w:ascii="宋体" w:hAnsi="宋体" w:cs="宋体"/>
                <w:bCs/>
                <w:color w:val="auto"/>
                <w:szCs w:val="21"/>
                <w:highlight w:val="none"/>
              </w:rPr>
              <w:t xml:space="preserve">《残疾人福利性单位声明函》</w:t>
            </w:r>
            <w:bookmarkEnd w:id="284"/>
            <w:r>
              <w:rPr>
                <w:rFonts w:hint="eastAsia" w:ascii="宋体" w:hAnsi="宋体" w:cs="宋体"/>
                <w:bCs/>
                <w:color w:val="auto"/>
                <w:szCs w:val="21"/>
                <w:highlight w:val="none"/>
              </w:rPr>
              <w:t xml:space="preserve">（格式见附件2）</w:t>
            </w:r>
            <w:r/>
          </w:p>
        </w:tc>
      </w:tr>
      <w:tr>
        <w:trPr>
          <w:jc w:val="center"/>
          <w:trHeight w:val="1273"/>
        </w:trPr>
        <w:tc>
          <w:tcPr>
            <w:tcW w:w="1350"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3</w:t>
            </w:r>
            <w:r/>
          </w:p>
        </w:tc>
        <w:tc>
          <w:tcPr>
            <w:tcW w:w="1574" w:type="dxa"/>
            <w:vAlign w:val="center"/>
            <w:textDirection w:val="lrTb"/>
            <w:noWrap w:val="false"/>
          </w:tcPr>
          <w:p>
            <w:pPr>
              <w:jc w:val="center"/>
              <w:spacing w:line="360" w:lineRule="auto"/>
              <w:rPr>
                <w:rFonts w:asci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监狱企业</w:t>
            </w:r>
            <w:r/>
          </w:p>
        </w:tc>
        <w:tc>
          <w:tcPr>
            <w:tcW w:w="4612"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r>
    </w:tbl>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420"/>
        <w:jc w:val="left"/>
        <w:spacing w:line="320" w:lineRule="atLeast"/>
        <w:rPr>
          <w:rFonts w:hint="eastAsia" w:ascii="宋体" w:hAnsi="宋体" w:cs="宋体"/>
          <w:color w:val="auto"/>
          <w:szCs w:val="21"/>
          <w:highlight w:val="none"/>
          <w:lang w:val="zh-CN"/>
        </w:rPr>
      </w:pPr>
      <w:r/>
      <w:bookmarkStart w:id="285" w:name="OLE_LINK264"/>
      <w:r>
        <w:rPr>
          <w:rFonts w:hint="eastAsia" w:ascii="宋体" w:hAnsi="宋体" w:cs="宋体"/>
          <w:color w:val="auto"/>
          <w:szCs w:val="21"/>
          <w:highlight w:val="none"/>
          <w:lang w:val="zh-CN"/>
        </w:rPr>
        <w:t xml:space="preserve">注：如本项目给予报价扣除优惠，供应商根据磋商文件要求提供相关证明材料（如有），以提供的有效证明材料为准 。</w:t>
      </w:r>
      <w:bookmarkEnd w:id="285"/>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rPr>
          <w:rFonts w:hint="eastAsia"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  </w:t>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   中小企业声明函</w:t>
      </w:r>
      <w:r/>
    </w:p>
    <w:p>
      <w:pPr>
        <w:rPr>
          <w:color w:val="auto"/>
          <w:highlight w:val="none"/>
        </w:rPr>
      </w:pPr>
      <w:r>
        <w:rPr>
          <w:color w:val="auto"/>
          <w:highlight w:val="none"/>
        </w:rPr>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w:t>
      </w:r>
      <w:r>
        <w:rPr>
          <w:rFonts w:ascii="宋体" w:hAnsi="宋体"/>
          <w:bCs/>
          <w:color w:val="auto"/>
          <w:sz w:val="24"/>
          <w:szCs w:val="24"/>
          <w:highlight w:val="none"/>
        </w:rPr>
        <w:t xml:space="preserve">202</w:t>
      </w:r>
      <w:r>
        <w:rPr>
          <w:rFonts w:hint="eastAsia" w:ascii="宋体" w:hAnsi="宋体"/>
          <w:bCs/>
          <w:color w:val="auto"/>
          <w:sz w:val="24"/>
          <w:szCs w:val="24"/>
          <w:highlight w:val="none"/>
        </w:rPr>
        <w:t xml:space="preserve">0﹞</w:t>
      </w:r>
      <w:r>
        <w:rPr>
          <w:rFonts w:ascii="宋体" w:hAnsi="宋体"/>
          <w:bCs/>
          <w:color w:val="auto"/>
          <w:sz w:val="24"/>
          <w:szCs w:val="24"/>
          <w:highlight w:val="none"/>
        </w:rPr>
        <w:t xml:space="preserve">46 </w:t>
      </w:r>
      <w:r>
        <w:rPr>
          <w:rFonts w:hint="eastAsia" w:ascii="宋体" w:hAnsi="宋体"/>
          <w:bCs/>
          <w:color w:val="auto"/>
          <w:sz w:val="24"/>
          <w:szCs w:val="24"/>
          <w:highlight w:val="none"/>
        </w:rPr>
        <w:t xml:space="preserve">号）的规定，本公司（联合体）参加</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spacing w:line="360" w:lineRule="auto"/>
        <w:rPr>
          <w:rFonts w:ascii="宋体"/>
          <w:bCs/>
          <w:color w:val="auto"/>
          <w:sz w:val="24"/>
          <w:szCs w:val="24"/>
          <w:highlight w:val="none"/>
        </w:rPr>
      </w:pPr>
      <w:r>
        <w:rPr>
          <w:rFonts w:ascii="宋体"/>
          <w:bCs/>
          <w:color w:val="auto"/>
          <w:sz w:val="24"/>
          <w:szCs w:val="24"/>
          <w:highlight w:val="none"/>
        </w:rPr>
      </w:r>
      <w:r/>
    </w:p>
    <w:p>
      <w:pPr>
        <w:ind w:left="5460" w:hanging="5460"/>
        <w:jc w:val="center"/>
        <w:spacing w:before="156" w:line="360" w:lineRule="auto"/>
        <w:rPr>
          <w:color w:val="auto"/>
          <w:sz w:val="24"/>
          <w:szCs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color w:val="auto"/>
          <w:sz w:val="24"/>
          <w:szCs w:val="24"/>
          <w:highlight w:val="none"/>
        </w:rPr>
        <w:t xml:space="preserve">供应商（电子签章）：</w:t>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hint="eastAsia" w:ascii="宋体" w:hAnsi="宋体"/>
          <w:bCs/>
          <w:color w:val="auto"/>
          <w:szCs w:val="21"/>
          <w:highlight w:val="none"/>
        </w:rPr>
      </w:pPr>
      <w:r/>
      <w:bookmarkStart w:id="286" w:name="_Hlk131935698"/>
      <w:r>
        <w:rPr>
          <w:rFonts w:hint="eastAsia" w:ascii="宋体" w:hAnsi="宋体"/>
          <w:bCs/>
          <w:color w:val="auto"/>
          <w:szCs w:val="21"/>
          <w:highlight w:val="none"/>
        </w:rPr>
        <w:t xml:space="preserve">（1）供应商应准确完整填写相关内容，详见第二章供应商须知相关要求。</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286"/>
      <w:r/>
      <w:r/>
    </w:p>
    <w:p>
      <w:pPr>
        <w:jc w:val="left"/>
        <w:rPr>
          <w:rFonts w:ascii="宋体"/>
          <w:bCs/>
          <w:color w:val="auto"/>
          <w:szCs w:val="21"/>
          <w:highlight w:val="none"/>
        </w:rPr>
      </w:pPr>
      <w:r>
        <w:rPr>
          <w:rFonts w:ascii="宋体"/>
          <w:bCs/>
          <w:color w:val="auto"/>
          <w:szCs w:val="21"/>
          <w:highlight w:val="none"/>
        </w:rPr>
      </w:r>
      <w:r/>
    </w:p>
    <w:p>
      <w:pPr>
        <w:ind w:firstLine="420"/>
        <w:jc w:val="left"/>
        <w:rPr>
          <w:rFonts w:ascii="宋体"/>
          <w:bCs/>
          <w:color w:val="auto"/>
          <w:szCs w:val="21"/>
          <w:highlight w:val="none"/>
        </w:rPr>
      </w:pPr>
      <w:r>
        <w:rPr>
          <w:rFonts w:ascii="宋体"/>
          <w:bCs/>
          <w:color w:val="auto"/>
          <w:szCs w:val="21"/>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民政部</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中国残疾人联合会关于促进残疾人就业政府采购政策的通知》（财库〔</w:t>
      </w:r>
      <w:r>
        <w:rPr>
          <w:rFonts w:ascii="宋体" w:hAnsi="宋体"/>
          <w:bCs/>
          <w:color w:val="auto"/>
          <w:sz w:val="24"/>
          <w:szCs w:val="24"/>
          <w:highlight w:val="none"/>
        </w:rPr>
        <w:t xml:space="preserve">2017</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141</w:t>
      </w:r>
      <w:r>
        <w:rPr>
          <w:rFonts w:hint="eastAsia" w:ascii="宋体" w:hAnsi="宋体"/>
          <w:bCs/>
          <w:color w:val="auto"/>
          <w:sz w:val="24"/>
          <w:szCs w:val="24"/>
          <w:highlight w:val="none"/>
        </w:rPr>
        <w:t xml:space="preserve">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项目采购活动（项目编号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zh-CN" w:eastAsia="zh-CN"/>
        </w:rPr>
        <w:t xml:space="preserve">JSZC-320282-ZDQY-C2025-000</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）服务全部由本单位提供。</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bCs/>
          <w:color w:val="auto"/>
          <w:sz w:val="24"/>
          <w:szCs w:val="24"/>
          <w:highlight w:val="none"/>
        </w:rPr>
      </w:pPr>
      <w:r>
        <w:rPr>
          <w:rFonts w:ascii="宋体"/>
          <w:bCs/>
          <w:color w:val="auto"/>
          <w:sz w:val="24"/>
          <w:szCs w:val="24"/>
          <w:highlight w:val="none"/>
        </w:rPr>
      </w:r>
      <w:r/>
    </w:p>
    <w:p>
      <w:pPr>
        <w:ind w:left="5460" w:hanging="5460"/>
        <w:jc w:val="center"/>
        <w:spacing w:before="156" w:line="360" w:lineRule="auto"/>
        <w:rPr>
          <w:rFonts w:hint="eastAsia" w:ascii="黑体" w:hAnsi="宋体" w:eastAsia="黑体"/>
          <w:bCs/>
          <w:color w:val="auto"/>
          <w:sz w:val="24"/>
          <w:szCs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color w:val="auto"/>
          <w:sz w:val="24"/>
          <w:szCs w:val="24"/>
          <w:highlight w:val="none"/>
        </w:rPr>
        <w:t xml:space="preserve">供应商（电子签章）：</w:t>
      </w:r>
      <w:r/>
    </w:p>
    <w:p>
      <w:pPr>
        <w:ind w:left="5460" w:hanging="5460"/>
        <w:jc w:val="center"/>
        <w:spacing w:before="156" w:line="360" w:lineRule="auto"/>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br w:type="page" w:clear="all"/>
      </w:r>
      <w:r/>
    </w:p>
    <w:p>
      <w:pPr>
        <w:rPr>
          <w:rFonts w:hint="eastAsia" w:ascii="黑体" w:hAnsi="宋体" w:eastAsia="黑体"/>
          <w:bCs/>
          <w:color w:val="auto"/>
          <w:sz w:val="28"/>
          <w:szCs w:val="28"/>
          <w:highlight w:val="none"/>
        </w:rPr>
      </w:pPr>
      <w:r/>
      <w:bookmarkStart w:id="287" w:name="_Hlk151563840"/>
      <w:r>
        <w:rPr>
          <w:rFonts w:hint="eastAsia" w:ascii="黑体" w:hAnsi="宋体" w:eastAsia="黑体"/>
          <w:bCs/>
          <w:color w:val="auto"/>
          <w:sz w:val="28"/>
          <w:szCs w:val="28"/>
          <w:highlight w:val="none"/>
        </w:rPr>
        <w:t xml:space="preserve">（五）其他相关材料</w:t>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80"/>
        <w:jc w:val="left"/>
        <w:spacing w:line="360" w:lineRule="auto"/>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供应商根据评审方法和标准等要求，</w:t>
      </w:r>
      <w:bookmarkEnd w:id="287"/>
      <w:r>
        <w:rPr>
          <w:rFonts w:hint="eastAsia" w:ascii="宋体" w:hAnsi="宋体" w:cs="宋体"/>
          <w:color w:val="auto"/>
          <w:sz w:val="24"/>
          <w:szCs w:val="24"/>
          <w:highlight w:val="none"/>
          <w:lang w:val="zh-CN"/>
        </w:rPr>
        <w:t xml:space="preserve">提交认为需要提供的相关证明材料，如未提供证明材料的，相关评分项不得分。</w:t>
      </w:r>
      <w:r/>
    </w:p>
    <w:p>
      <w:pPr>
        <w:spacing w:line="360" w:lineRule="auto"/>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r>
      <w:r/>
    </w:p>
    <w:sectPr>
      <w:footnotePr/>
      <w:endnotePr/>
      <w:type w:val="nextPage"/>
      <w:pgSz w:w="11906" w:h="16838" w:orient="portrait"/>
      <w:pgMar w:top="1135" w:right="692"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PMingLiU">
    <w:panose1 w:val="02020500000000000000"/>
  </w:font>
  <w:font w:name="Cambria">
    <w:panose1 w:val="02040503050406030204"/>
  </w:font>
  <w:font w:name="Cambria Math">
    <w:panose1 w:val="02040503050406030204"/>
  </w:font>
  <w:font w:name="Calibri Light">
    <w:panose1 w:val="020F0302020204030204"/>
  </w:font>
  <w:font w:name="Courier New">
    <w:panose1 w:val="02070309020205020404"/>
  </w:font>
  <w:font w:name="仿宋_GB2312">
    <w:panose1 w:val="02010609060101010101"/>
  </w:font>
  <w:font w:name="黑体">
    <w:panose1 w:val="02010609060101010101"/>
  </w:font>
  <w:font w:name="Microsoft YaHei UI">
    <w:panose1 w:val="020B0503020204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etween w:val="none" w:color="auto" w:sz="0" w:space="0"/>
      </w:pBdr>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etween w:val="none" w:color="auto" w:sz="0" w:space="0"/>
      </w:pBdr>
      <w:framePr w:wrap="around" w:vAnchor="text" w:hAnchor="margin" w:xAlign="center" w:yAlign="top"/>
    </w:pPr>
    <w:r>
      <w:fldChar w:fldCharType="begin"/>
    </w:r>
    <w:r>
      <w:rPr>
        <w:rStyle w:val="724"/>
      </w:rPr>
      <w:instrText xml:space="preserve"> PAGE  </w:instrText>
    </w:r>
    <w:r>
      <w:fldChar w:fldCharType="separate"/>
    </w:r>
    <w:r>
      <w:rPr>
        <w:rStyle w:val="724"/>
      </w:rPr>
      <w:t xml:space="preserve">- 2 -</w:t>
    </w:r>
    <w:r>
      <w:fldChar w:fldCharType="end"/>
    </w:r>
    <w:r/>
  </w:p>
  <w:p>
    <w:pPr>
      <w:pStyle w:val="7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9104706"/>
      <w:docPartObj>
        <w:docPartGallery w:val="autotext"/>
      </w:docPartObj>
      <w:rPr/>
    </w:sdtPr>
    <w:sdtContent>
      <w:p>
        <w:pPr>
          <w:pStyle w:val="704"/>
          <w:jc w:val="center"/>
        </w:pPr>
        <w:r>
          <w:fldChar w:fldCharType="begin"/>
        </w:r>
        <w:r>
          <w:instrText xml:space="preserve"> PAGE   \* MERGEFORMAT </w:instrText>
        </w:r>
        <w:r>
          <w:fldChar w:fldCharType="separate"/>
        </w:r>
        <w:r>
          <w:rPr>
            <w:lang w:val="zh-CN"/>
          </w:rPr>
          <w:t xml:space="preserve">-</w:t>
        </w:r>
        <w:r>
          <w:t xml:space="preserve"> 1 -</w:t>
        </w:r>
        <w:r>
          <w:fldChar w:fldCharType="end"/>
        </w:r>
        <w:r/>
      </w:p>
    </w:sdtContent>
  </w:sdt>
  <w:p>
    <w:pPr>
      <w:pStyle w:val="70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5"/>
  </w:num>
  <w:num w:numId="5">
    <w:abstractNumId w:val="6"/>
  </w:num>
  <w:num w:numId="6">
    <w:abstractNumId w:val="8"/>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next w:val="691"/>
    <w:uiPriority w:val="0"/>
    <w:qFormat/>
    <w:pPr>
      <w:jc w:val="both"/>
      <w:widowControl w:val="off"/>
    </w:pPr>
    <w:rPr>
      <w:rFonts w:hint="default" w:ascii="Calibri" w:hAnsi="Calibri" w:eastAsia="宋体" w:cs="Times New Roman"/>
      <w:sz w:val="21"/>
      <w:szCs w:val="20"/>
      <w:lang w:val="en-US" w:eastAsia="zh-CN" w:bidi="ar-SA"/>
    </w:rPr>
  </w:style>
  <w:style w:type="paragraph" w:styleId="680">
    <w:name w:val="Heading 1"/>
    <w:basedOn w:val="679"/>
    <w:next w:val="679"/>
    <w:link w:val="876"/>
    <w:uiPriority w:val="0"/>
    <w:qFormat/>
    <w:pPr>
      <w:keepLines/>
      <w:keepNext/>
      <w:spacing w:before="340" w:after="330" w:line="576" w:lineRule="auto"/>
      <w:outlineLvl w:val="0"/>
    </w:pPr>
    <w:rPr>
      <w:b/>
      <w:sz w:val="44"/>
    </w:rPr>
  </w:style>
  <w:style w:type="paragraph" w:styleId="681">
    <w:name w:val="Heading 2"/>
    <w:basedOn w:val="679"/>
    <w:next w:val="679"/>
    <w:link w:val="877"/>
    <w:uiPriority w:val="0"/>
    <w:qFormat/>
    <w:pPr>
      <w:keepLines/>
      <w:keepNext/>
      <w:spacing w:before="260" w:after="260" w:line="412" w:lineRule="auto"/>
      <w:outlineLvl w:val="1"/>
    </w:pPr>
    <w:rPr>
      <w:rFonts w:ascii="Arial" w:hAnsi="Arial" w:eastAsia="黑体"/>
      <w:b/>
      <w:sz w:val="32"/>
    </w:rPr>
  </w:style>
  <w:style w:type="paragraph" w:styleId="682">
    <w:name w:val="Heading 3"/>
    <w:basedOn w:val="679"/>
    <w:next w:val="679"/>
    <w:link w:val="878"/>
    <w:uiPriority w:val="0"/>
    <w:qFormat/>
    <w:pPr>
      <w:keepLines/>
      <w:keepNext/>
      <w:spacing w:before="260" w:after="260" w:line="412" w:lineRule="auto"/>
      <w:outlineLvl w:val="2"/>
    </w:pPr>
    <w:rPr>
      <w:b/>
      <w:sz w:val="32"/>
    </w:rPr>
  </w:style>
  <w:style w:type="paragraph" w:styleId="683">
    <w:name w:val="Heading 4"/>
    <w:basedOn w:val="679"/>
    <w:next w:val="679"/>
    <w:link w:val="879"/>
    <w:uiPriority w:val="0"/>
    <w:qFormat/>
    <w:pPr>
      <w:keepLines/>
      <w:keepNext/>
      <w:spacing w:before="280" w:after="290" w:line="372" w:lineRule="auto"/>
      <w:outlineLvl w:val="3"/>
    </w:pPr>
    <w:rPr>
      <w:rFonts w:ascii="Arial" w:hAnsi="Arial" w:eastAsia="黑体"/>
      <w:b/>
      <w:sz w:val="28"/>
    </w:rPr>
  </w:style>
  <w:style w:type="paragraph" w:styleId="684">
    <w:name w:val="Heading 5"/>
    <w:basedOn w:val="679"/>
    <w:next w:val="679"/>
    <w:link w:val="880"/>
    <w:uiPriority w:val="0"/>
    <w:qFormat/>
    <w:pPr>
      <w:keepLines/>
      <w:keepNext/>
      <w:spacing w:before="280" w:after="290" w:line="372" w:lineRule="auto"/>
      <w:outlineLvl w:val="4"/>
    </w:pPr>
    <w:rPr>
      <w:b/>
      <w:sz w:val="28"/>
    </w:rPr>
  </w:style>
  <w:style w:type="paragraph" w:styleId="685">
    <w:name w:val="Heading 6"/>
    <w:basedOn w:val="679"/>
    <w:next w:val="679"/>
    <w:link w:val="881"/>
    <w:uiPriority w:val="0"/>
    <w:qFormat/>
    <w:pPr>
      <w:keepLines/>
      <w:keepNext/>
      <w:spacing w:before="240" w:after="64" w:line="316" w:lineRule="auto"/>
      <w:outlineLvl w:val="5"/>
    </w:pPr>
    <w:rPr>
      <w:rFonts w:ascii="Arial" w:hAnsi="Arial" w:eastAsia="黑体"/>
      <w:b/>
      <w:sz w:val="24"/>
    </w:rPr>
  </w:style>
  <w:style w:type="paragraph" w:styleId="686">
    <w:name w:val="Heading 7"/>
    <w:basedOn w:val="679"/>
    <w:next w:val="679"/>
    <w:link w:val="882"/>
    <w:uiPriority w:val="0"/>
    <w:qFormat/>
    <w:pPr>
      <w:keepLines/>
      <w:keepNext/>
      <w:spacing w:before="240" w:after="64" w:line="316" w:lineRule="auto"/>
      <w:outlineLvl w:val="6"/>
    </w:pPr>
    <w:rPr>
      <w:b/>
      <w:sz w:val="24"/>
    </w:rPr>
  </w:style>
  <w:style w:type="paragraph" w:styleId="687">
    <w:name w:val="Heading 8"/>
    <w:basedOn w:val="679"/>
    <w:next w:val="679"/>
    <w:link w:val="883"/>
    <w:uiPriority w:val="0"/>
    <w:qFormat/>
    <w:pPr>
      <w:keepLines/>
      <w:keepNext/>
      <w:spacing w:before="240" w:after="64" w:line="316" w:lineRule="auto"/>
      <w:outlineLvl w:val="7"/>
    </w:pPr>
    <w:rPr>
      <w:rFonts w:ascii="Arial" w:hAnsi="Arial" w:eastAsia="黑体"/>
      <w:sz w:val="24"/>
    </w:rPr>
  </w:style>
  <w:style w:type="paragraph" w:styleId="688">
    <w:name w:val="Heading 9"/>
    <w:basedOn w:val="679"/>
    <w:next w:val="679"/>
    <w:link w:val="884"/>
    <w:uiPriority w:val="0"/>
    <w:qFormat/>
    <w:pPr>
      <w:keepLines/>
      <w:keepNext/>
      <w:spacing w:before="240" w:after="64" w:line="316" w:lineRule="auto"/>
      <w:outlineLvl w:val="8"/>
    </w:pPr>
    <w:rPr>
      <w:rFonts w:ascii="Arial" w:hAnsi="Arial" w:eastAsia="黑体"/>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Plain Text"/>
    <w:basedOn w:val="679"/>
    <w:next w:val="692"/>
    <w:uiPriority w:val="0"/>
    <w:qFormat/>
    <w:rPr>
      <w:rFonts w:ascii="宋体" w:hAnsi="Courier New" w:cs="Courier New"/>
      <w:szCs w:val="21"/>
    </w:rPr>
  </w:style>
  <w:style w:type="paragraph" w:styleId="692">
    <w:name w:val="Normal Indent"/>
    <w:basedOn w:val="679"/>
    <w:uiPriority w:val="0"/>
    <w:qFormat/>
    <w:pPr>
      <w:ind w:firstLine="420"/>
    </w:pPr>
    <w:rPr>
      <w:sz w:val="28"/>
    </w:rPr>
  </w:style>
  <w:style w:type="paragraph" w:styleId="693">
    <w:name w:val="toc 7"/>
    <w:basedOn w:val="679"/>
    <w:next w:val="679"/>
    <w:uiPriority w:val="39"/>
    <w:unhideWhenUsed/>
    <w:qFormat/>
    <w:pPr>
      <w:ind w:left="1701" w:right="0" w:firstLine="0"/>
      <w:spacing w:after="57"/>
    </w:pPr>
  </w:style>
  <w:style w:type="paragraph" w:styleId="694">
    <w:name w:val="Caption"/>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Document Map"/>
    <w:basedOn w:val="679"/>
    <w:link w:val="917"/>
    <w:uiPriority w:val="99"/>
    <w:unhideWhenUsed/>
    <w:qFormat/>
    <w:rPr>
      <w:rFonts w:ascii="Microsoft YaHei UI" w:eastAsia="Microsoft YaHei UI"/>
      <w:sz w:val="18"/>
      <w:szCs w:val="18"/>
    </w:rPr>
  </w:style>
  <w:style w:type="paragraph" w:styleId="696">
    <w:name w:val="annotation text"/>
    <w:basedOn w:val="679"/>
    <w:link w:val="885"/>
    <w:uiPriority w:val="0"/>
    <w:qFormat/>
    <w:pPr>
      <w:jc w:val="left"/>
    </w:pPr>
  </w:style>
  <w:style w:type="paragraph" w:styleId="697">
    <w:name w:val="Body Text"/>
    <w:basedOn w:val="679"/>
    <w:link w:val="886"/>
    <w:uiPriority w:val="0"/>
    <w:qFormat/>
    <w:rPr>
      <w:sz w:val="20"/>
    </w:rPr>
  </w:style>
  <w:style w:type="paragraph" w:styleId="698">
    <w:name w:val="Body Text Indent"/>
    <w:basedOn w:val="679"/>
    <w:link w:val="887"/>
    <w:uiPriority w:val="0"/>
    <w:qFormat/>
    <w:pPr>
      <w:ind w:left="200"/>
      <w:spacing w:after="120"/>
    </w:pPr>
  </w:style>
  <w:style w:type="paragraph" w:styleId="699">
    <w:name w:val="toc 5"/>
    <w:basedOn w:val="679"/>
    <w:next w:val="679"/>
    <w:uiPriority w:val="39"/>
    <w:unhideWhenUsed/>
    <w:qFormat/>
    <w:pPr>
      <w:ind w:left="1134" w:right="0" w:firstLine="0"/>
      <w:spacing w:after="57"/>
    </w:pPr>
  </w:style>
  <w:style w:type="paragraph" w:styleId="700">
    <w:name w:val="toc 3"/>
    <w:basedOn w:val="679"/>
    <w:next w:val="679"/>
    <w:uiPriority w:val="39"/>
    <w:unhideWhenUsed/>
    <w:qFormat/>
    <w:pPr>
      <w:ind w:left="567" w:right="0" w:firstLine="0"/>
      <w:spacing w:after="57"/>
    </w:pPr>
  </w:style>
  <w:style w:type="paragraph" w:styleId="701">
    <w:name w:val="toc 8"/>
    <w:basedOn w:val="679"/>
    <w:next w:val="679"/>
    <w:uiPriority w:val="39"/>
    <w:unhideWhenUsed/>
    <w:qFormat/>
    <w:pPr>
      <w:ind w:left="1984" w:right="0" w:firstLine="0"/>
      <w:spacing w:after="57"/>
    </w:pPr>
  </w:style>
  <w:style w:type="paragraph" w:styleId="702">
    <w:name w:val="endnote text"/>
    <w:basedOn w:val="679"/>
    <w:link w:val="873"/>
    <w:uiPriority w:val="99"/>
    <w:semiHidden/>
    <w:unhideWhenUsed/>
    <w:qFormat/>
    <w:pPr>
      <w:spacing w:after="0" w:line="240" w:lineRule="auto"/>
    </w:pPr>
    <w:rPr>
      <w:sz w:val="20"/>
    </w:rPr>
  </w:style>
  <w:style w:type="paragraph" w:styleId="703">
    <w:name w:val="Balloon Text"/>
    <w:basedOn w:val="679"/>
    <w:link w:val="888"/>
    <w:uiPriority w:val="0"/>
    <w:qFormat/>
    <w:rPr>
      <w:sz w:val="18"/>
      <w:szCs w:val="18"/>
    </w:rPr>
  </w:style>
  <w:style w:type="paragraph" w:styleId="704">
    <w:name w:val="Footer"/>
    <w:basedOn w:val="679"/>
    <w:link w:val="875"/>
    <w:uiPriority w:val="99"/>
    <w:unhideWhenUsed/>
    <w:qFormat/>
    <w:pPr>
      <w:jc w:val="left"/>
      <w:tabs>
        <w:tab w:val="center" w:pos="4153" w:leader="none"/>
        <w:tab w:val="right" w:pos="8306" w:leader="none"/>
      </w:tabs>
    </w:pPr>
    <w:rPr>
      <w:sz w:val="18"/>
      <w:szCs w:val="18"/>
    </w:rPr>
  </w:style>
  <w:style w:type="paragraph" w:styleId="705">
    <w:name w:val="envelope return"/>
    <w:basedOn w:val="679"/>
    <w:uiPriority w:val="0"/>
    <w:qFormat/>
    <w:pPr>
      <w:ind w:firstLine="200"/>
      <w:spacing w:line="360" w:lineRule="auto"/>
    </w:pPr>
    <w:rPr>
      <w:rFonts w:ascii="Arial" w:hAnsi="Arial" w:eastAsia="仿宋_GB2312" w:cs="Arial"/>
      <w:sz w:val="24"/>
      <w:szCs w:val="21"/>
    </w:rPr>
  </w:style>
  <w:style w:type="paragraph" w:styleId="706">
    <w:name w:val="Header"/>
    <w:basedOn w:val="679"/>
    <w:link w:val="87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9"/>
    <w:next w:val="679"/>
    <w:uiPriority w:val="39"/>
    <w:qFormat/>
  </w:style>
  <w:style w:type="paragraph" w:styleId="708">
    <w:name w:val="toc 4"/>
    <w:basedOn w:val="679"/>
    <w:next w:val="679"/>
    <w:uiPriority w:val="39"/>
    <w:unhideWhenUsed/>
    <w:qFormat/>
    <w:pPr>
      <w:ind w:left="850" w:right="0" w:firstLine="0"/>
      <w:spacing w:after="57"/>
    </w:pPr>
  </w:style>
  <w:style w:type="paragraph" w:styleId="709">
    <w:name w:val="Subtitle"/>
    <w:basedOn w:val="679"/>
    <w:next w:val="679"/>
    <w:link w:val="889"/>
    <w:uiPriority w:val="0"/>
    <w:qFormat/>
    <w:pPr>
      <w:jc w:val="center"/>
      <w:spacing w:before="240" w:after="60" w:line="312" w:lineRule="auto"/>
      <w:widowControl/>
      <w:outlineLvl w:val="1"/>
    </w:pPr>
    <w:rPr>
      <w:rFonts w:ascii="Calibri Light" w:hAnsi="Calibri Light"/>
      <w:b/>
      <w:bCs/>
      <w:sz w:val="32"/>
      <w:szCs w:val="32"/>
    </w:rPr>
  </w:style>
  <w:style w:type="paragraph" w:styleId="710">
    <w:name w:val="footnote text"/>
    <w:basedOn w:val="679"/>
    <w:link w:val="872"/>
    <w:uiPriority w:val="99"/>
    <w:semiHidden/>
    <w:unhideWhenUsed/>
    <w:qFormat/>
    <w:pPr>
      <w:spacing w:after="40" w:line="240" w:lineRule="auto"/>
    </w:pPr>
    <w:rPr>
      <w:sz w:val="18"/>
    </w:rPr>
  </w:style>
  <w:style w:type="paragraph" w:styleId="711">
    <w:name w:val="toc 6"/>
    <w:basedOn w:val="679"/>
    <w:next w:val="679"/>
    <w:uiPriority w:val="39"/>
    <w:unhideWhenUsed/>
    <w:qFormat/>
    <w:pPr>
      <w:ind w:left="1417" w:right="0" w:firstLine="0"/>
      <w:spacing w:after="57"/>
    </w:pPr>
  </w:style>
  <w:style w:type="paragraph" w:styleId="712">
    <w:name w:val="Body Text Indent 3"/>
    <w:basedOn w:val="679"/>
    <w:link w:val="890"/>
    <w:uiPriority w:val="0"/>
    <w:qFormat/>
    <w:pPr>
      <w:ind w:left="200"/>
      <w:jc w:val="left"/>
      <w:spacing w:after="120"/>
      <w:widowControl/>
    </w:pPr>
    <w:rPr>
      <w:sz w:val="16"/>
      <w:szCs w:val="16"/>
    </w:rPr>
  </w:style>
  <w:style w:type="paragraph" w:styleId="713">
    <w:name w:val="table of figures"/>
    <w:basedOn w:val="679"/>
    <w:next w:val="679"/>
    <w:uiPriority w:val="99"/>
    <w:unhideWhenUsed/>
    <w:qFormat/>
    <w:pPr>
      <w:spacing w:after="0" w:afterAutospacing="0"/>
    </w:pPr>
  </w:style>
  <w:style w:type="paragraph" w:styleId="714">
    <w:name w:val="toc 2"/>
    <w:basedOn w:val="679"/>
    <w:next w:val="679"/>
    <w:uiPriority w:val="0"/>
    <w:qFormat/>
    <w:pPr>
      <w:ind w:left="200"/>
    </w:pPr>
  </w:style>
  <w:style w:type="paragraph" w:styleId="715">
    <w:name w:val="toc 9"/>
    <w:basedOn w:val="679"/>
    <w:next w:val="679"/>
    <w:uiPriority w:val="39"/>
    <w:unhideWhenUsed/>
    <w:qFormat/>
    <w:pPr>
      <w:ind w:left="2268" w:right="0" w:firstLine="0"/>
      <w:spacing w:after="57"/>
    </w:pPr>
  </w:style>
  <w:style w:type="paragraph" w:styleId="716">
    <w:name w:val="Body Text 2"/>
    <w:basedOn w:val="679"/>
    <w:link w:val="891"/>
    <w:uiPriority w:val="0"/>
    <w:qFormat/>
    <w:pPr>
      <w:spacing w:after="120" w:line="480" w:lineRule="auto"/>
    </w:pPr>
    <w:rPr>
      <w:sz w:val="20"/>
    </w:rPr>
  </w:style>
  <w:style w:type="paragraph" w:styleId="717">
    <w:name w:val="HTML Preformatted"/>
    <w:basedOn w:val="679"/>
    <w:link w:val="8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718">
    <w:name w:val="Normal (Web)"/>
    <w:basedOn w:val="679"/>
    <w:uiPriority w:val="99"/>
    <w:qFormat/>
    <w:pPr>
      <w:jc w:val="left"/>
      <w:spacing w:before="100" w:beforeAutospacing="1" w:after="100" w:afterAutospacing="1"/>
      <w:widowControl/>
    </w:pPr>
    <w:rPr>
      <w:rFonts w:ascii="宋体" w:cs="宋体"/>
      <w:sz w:val="24"/>
      <w:szCs w:val="24"/>
    </w:rPr>
  </w:style>
  <w:style w:type="paragraph" w:styleId="719">
    <w:name w:val="Title"/>
    <w:basedOn w:val="679"/>
    <w:next w:val="679"/>
    <w:link w:val="893"/>
    <w:uiPriority w:val="0"/>
    <w:qFormat/>
    <w:pPr>
      <w:jc w:val="center"/>
      <w:spacing w:before="60" w:after="60"/>
      <w:widowControl/>
      <w:outlineLvl w:val="0"/>
    </w:pPr>
    <w:rPr>
      <w:rFonts w:ascii="Cambria" w:hAnsi="Cambria"/>
      <w:b/>
      <w:bCs/>
      <w:sz w:val="24"/>
      <w:szCs w:val="32"/>
    </w:rPr>
  </w:style>
  <w:style w:type="paragraph" w:styleId="720">
    <w:name w:val="annotation subject"/>
    <w:basedOn w:val="696"/>
    <w:next w:val="696"/>
    <w:link w:val="894"/>
    <w:uiPriority w:val="0"/>
    <w:qFormat/>
    <w:rPr>
      <w:b/>
      <w:bCs/>
    </w:rPr>
  </w:style>
  <w:style w:type="paragraph" w:styleId="721">
    <w:name w:val="Body Text First Indent 2"/>
    <w:basedOn w:val="698"/>
    <w:link w:val="895"/>
    <w:uiPriority w:val="0"/>
    <w:qFormat/>
    <w:pPr>
      <w:ind w:left="0" w:firstLine="200"/>
      <w:spacing w:after="0"/>
    </w:pPr>
    <w:rPr>
      <w:rFonts w:ascii="仿宋_GB2312" w:eastAsia="仿宋_GB2312"/>
      <w:sz w:val="24"/>
      <w:szCs w:val="24"/>
    </w:rPr>
  </w:style>
  <w:style w:type="table" w:styleId="722">
    <w:name w:val="Table Grid"/>
    <w:basedOn w:val="690"/>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endnote reference"/>
    <w:basedOn w:val="689"/>
    <w:uiPriority w:val="99"/>
    <w:semiHidden/>
    <w:unhideWhenUsed/>
    <w:qFormat/>
    <w:rPr>
      <w:vertAlign w:val="superscript"/>
    </w:rPr>
  </w:style>
  <w:style w:type="character" w:styleId="724">
    <w:name w:val="page number"/>
    <w:basedOn w:val="689"/>
    <w:uiPriority w:val="0"/>
    <w:qFormat/>
  </w:style>
  <w:style w:type="character" w:styleId="725">
    <w:name w:val="FollowedHyperlink"/>
    <w:uiPriority w:val="0"/>
    <w:qFormat/>
    <w:rPr>
      <w:color w:val="auto"/>
      <w:u w:val="none"/>
    </w:rPr>
  </w:style>
  <w:style w:type="character" w:styleId="726">
    <w:name w:val="Hyperlink"/>
    <w:uiPriority w:val="99"/>
    <w:qFormat/>
    <w:rPr>
      <w:color w:val="0000ff"/>
      <w:u w:val="single"/>
    </w:rPr>
  </w:style>
  <w:style w:type="character" w:styleId="727">
    <w:name w:val="annotation reference"/>
    <w:uiPriority w:val="0"/>
    <w:qFormat/>
    <w:rPr>
      <w:sz w:val="21"/>
      <w:szCs w:val="21"/>
    </w:rPr>
  </w:style>
  <w:style w:type="character" w:styleId="728">
    <w:name w:val="footnote reference"/>
    <w:basedOn w:val="689"/>
    <w:uiPriority w:val="99"/>
    <w:unhideWhenUsed/>
    <w:qFormat/>
    <w:rPr>
      <w:vertAlign w:val="superscript"/>
    </w:rPr>
  </w:style>
  <w:style w:type="character" w:styleId="729" w:customStyle="1">
    <w:name w:val="Heading 1 Char"/>
    <w:basedOn w:val="689"/>
    <w:uiPriority w:val="9"/>
    <w:qFormat/>
    <w:rPr>
      <w:rFonts w:ascii="Arial" w:hAnsi="Arial" w:eastAsia="Arial" w:cs="Arial"/>
      <w:sz w:val="40"/>
      <w:szCs w:val="40"/>
    </w:rPr>
  </w:style>
  <w:style w:type="character" w:styleId="730" w:customStyle="1">
    <w:name w:val="Heading 2 Char"/>
    <w:basedOn w:val="689"/>
    <w:uiPriority w:val="9"/>
    <w:qFormat/>
    <w:rPr>
      <w:rFonts w:ascii="Arial" w:hAnsi="Arial" w:eastAsia="Arial" w:cs="Arial"/>
      <w:sz w:val="34"/>
    </w:rPr>
  </w:style>
  <w:style w:type="character" w:styleId="731" w:customStyle="1">
    <w:name w:val="Heading 3 Char"/>
    <w:basedOn w:val="689"/>
    <w:uiPriority w:val="9"/>
    <w:qFormat/>
    <w:rPr>
      <w:rFonts w:ascii="Arial" w:hAnsi="Arial" w:eastAsia="Arial" w:cs="Arial"/>
      <w:sz w:val="30"/>
      <w:szCs w:val="30"/>
    </w:rPr>
  </w:style>
  <w:style w:type="character" w:styleId="732" w:customStyle="1">
    <w:name w:val="Heading 4 Char"/>
    <w:basedOn w:val="689"/>
    <w:uiPriority w:val="9"/>
    <w:qFormat/>
    <w:rPr>
      <w:rFonts w:ascii="Arial" w:hAnsi="Arial" w:eastAsia="Arial" w:cs="Arial"/>
      <w:b/>
      <w:bCs/>
      <w:sz w:val="26"/>
      <w:szCs w:val="26"/>
    </w:rPr>
  </w:style>
  <w:style w:type="character" w:styleId="733" w:customStyle="1">
    <w:name w:val="Heading 5 Char"/>
    <w:basedOn w:val="689"/>
    <w:uiPriority w:val="9"/>
    <w:qFormat/>
    <w:rPr>
      <w:rFonts w:ascii="Arial" w:hAnsi="Arial" w:eastAsia="Arial" w:cs="Arial"/>
      <w:b/>
      <w:bCs/>
      <w:sz w:val="24"/>
      <w:szCs w:val="24"/>
    </w:rPr>
  </w:style>
  <w:style w:type="character" w:styleId="734" w:customStyle="1">
    <w:name w:val="Heading 6 Char"/>
    <w:basedOn w:val="689"/>
    <w:uiPriority w:val="9"/>
    <w:qFormat/>
    <w:rPr>
      <w:rFonts w:ascii="Arial" w:hAnsi="Arial" w:eastAsia="Arial" w:cs="Arial"/>
      <w:b/>
      <w:bCs/>
      <w:sz w:val="22"/>
      <w:szCs w:val="22"/>
    </w:rPr>
  </w:style>
  <w:style w:type="character" w:styleId="735" w:customStyle="1">
    <w:name w:val="Heading 7 Char"/>
    <w:basedOn w:val="689"/>
    <w:uiPriority w:val="9"/>
    <w:qFormat/>
    <w:rPr>
      <w:rFonts w:ascii="Arial" w:hAnsi="Arial" w:eastAsia="Arial" w:cs="Arial"/>
      <w:b/>
      <w:bCs/>
      <w:i/>
      <w:iCs/>
      <w:sz w:val="22"/>
      <w:szCs w:val="22"/>
    </w:rPr>
  </w:style>
  <w:style w:type="character" w:styleId="736" w:customStyle="1">
    <w:name w:val="Heading 8 Char"/>
    <w:basedOn w:val="689"/>
    <w:uiPriority w:val="9"/>
    <w:qFormat/>
    <w:rPr>
      <w:rFonts w:ascii="Arial" w:hAnsi="Arial" w:eastAsia="Arial" w:cs="Arial"/>
      <w:i/>
      <w:iCs/>
      <w:sz w:val="22"/>
      <w:szCs w:val="22"/>
    </w:rPr>
  </w:style>
  <w:style w:type="character" w:styleId="737" w:customStyle="1">
    <w:name w:val="Heading 9 Char"/>
    <w:basedOn w:val="689"/>
    <w:uiPriority w:val="9"/>
    <w:qFormat/>
    <w:rPr>
      <w:rFonts w:ascii="Arial" w:hAnsi="Arial" w:eastAsia="Arial" w:cs="Arial"/>
      <w:i/>
      <w:iCs/>
      <w:sz w:val="21"/>
      <w:szCs w:val="21"/>
    </w:rPr>
  </w:style>
  <w:style w:type="paragraph" w:styleId="738">
    <w:name w:val="No Spacing"/>
    <w:uiPriority w:val="1"/>
    <w:qFormat/>
    <w:pPr>
      <w:spacing w:before="0" w:after="0" w:line="240" w:lineRule="auto"/>
    </w:pPr>
    <w:rPr>
      <w:rFonts w:hint="default" w:asciiTheme="minorHAnsi" w:hAnsiTheme="minorHAnsi" w:eastAsiaTheme="minorEastAsia" w:cstheme="minorBidi"/>
    </w:rPr>
  </w:style>
  <w:style w:type="character" w:styleId="739" w:customStyle="1">
    <w:name w:val="Title Char"/>
    <w:basedOn w:val="689"/>
    <w:uiPriority w:val="10"/>
    <w:qFormat/>
    <w:rPr>
      <w:sz w:val="48"/>
      <w:szCs w:val="48"/>
    </w:rPr>
  </w:style>
  <w:style w:type="character" w:styleId="740" w:customStyle="1">
    <w:name w:val="Subtitle Char"/>
    <w:basedOn w:val="689"/>
    <w:uiPriority w:val="11"/>
    <w:qFormat/>
    <w:rPr>
      <w:sz w:val="24"/>
      <w:szCs w:val="24"/>
    </w:rPr>
  </w:style>
  <w:style w:type="paragraph" w:styleId="741">
    <w:name w:val="Quote"/>
    <w:basedOn w:val="679"/>
    <w:next w:val="679"/>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79"/>
    <w:next w:val="679"/>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89"/>
    <w:uiPriority w:val="99"/>
    <w:qFormat/>
  </w:style>
  <w:style w:type="character" w:styleId="746" w:customStyle="1">
    <w:name w:val="Footer Char"/>
    <w:basedOn w:val="689"/>
    <w:uiPriority w:val="99"/>
    <w:qFormat/>
  </w:style>
  <w:style w:type="character" w:styleId="747" w:customStyle="1">
    <w:name w:val="Caption Char"/>
    <w:uiPriority w:val="99"/>
    <w:qFormat/>
  </w:style>
  <w:style w:type="table" w:styleId="748" w:customStyle="1">
    <w:name w:val="Table Grid Light"/>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9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basedOn w:val="69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basedOn w:val="69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basedOn w:val="69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basedOn w:val="69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basedOn w:val="69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 Accent 5"/>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basedOn w:val="69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0" w:customStyle="1">
    <w:name w:val="Grid Table 6 Colorful - Accent 2"/>
    <w:basedOn w:val="6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1" w:customStyle="1">
    <w:name w:val="Grid Table 6 Colorful - Accent 3"/>
    <w:basedOn w:val="69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2" w:customStyle="1">
    <w:name w:val="Grid Table 6 Colorful - Accent 4"/>
    <w:basedOn w:val="6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3" w:customStyle="1">
    <w:name w:val="Grid Table 6 Colorful - Accent 5"/>
    <w:basedOn w:val="69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6 Colorful - Accent 6"/>
    <w:basedOn w:val="69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9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9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9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9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9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9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9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9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9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9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9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9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basedOn w:val="69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basedOn w:val="69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2" w:customStyle="1">
    <w:name w:val="List Table 2 - Accent 3"/>
    <w:basedOn w:val="69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basedOn w:val="69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basedOn w:val="69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basedOn w:val="69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9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basedOn w:val="6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9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9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9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9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basedOn w:val="69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basedOn w:val="69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basedOn w:val="69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basedOn w:val="69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basedOn w:val="69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basedOn w:val="69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basedOn w:val="69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basedOn w:val="69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basedOn w:val="69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basedOn w:val="69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basedOn w:val="69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basedOn w:val="69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9" w:customStyle="1">
    <w:name w:val="List Table 6 Colorful - Accent 2"/>
    <w:basedOn w:val="69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0" w:customStyle="1">
    <w:name w:val="List Table 6 Colorful - Accent 3"/>
    <w:basedOn w:val="69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1" w:customStyle="1">
    <w:name w:val="List Table 6 Colorful - Accent 4"/>
    <w:basedOn w:val="69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2" w:customStyle="1">
    <w:name w:val="List Table 6 Colorful - Accent 5"/>
    <w:basedOn w:val="69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3" w:customStyle="1">
    <w:name w:val="List Table 6 Colorful - Accent 6"/>
    <w:basedOn w:val="69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4"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9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9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9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9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9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9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Lined - Accent 2"/>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Lined - Accent 3"/>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Lined - Accent 4"/>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basedOn w:val="6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basedOn w:val="69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Bordered &amp; Lined - Accent 2"/>
    <w:basedOn w:val="69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Bordered &amp; Lined - Accent 3"/>
    <w:basedOn w:val="69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Bordered &amp; Lined - Accent 4"/>
    <w:basedOn w:val="69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basedOn w:val="69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basedOn w:val="69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basedOn w:val="6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basedOn w:val="6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basedOn w:val="6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8" w:customStyle="1">
    <w:name w:val="Bordered - Accent 3"/>
    <w:basedOn w:val="6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9" w:customStyle="1">
    <w:name w:val="Bordered - Accent 4"/>
    <w:basedOn w:val="6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basedOn w:val="6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basedOn w:val="6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Footnote Text Char"/>
    <w:link w:val="710"/>
    <w:uiPriority w:val="99"/>
    <w:qFormat/>
    <w:rPr>
      <w:sz w:val="18"/>
    </w:rPr>
  </w:style>
  <w:style w:type="character" w:styleId="873" w:customStyle="1">
    <w:name w:val="Endnote Text Char"/>
    <w:link w:val="702"/>
    <w:uiPriority w:val="99"/>
    <w:qFormat/>
    <w:rPr>
      <w:sz w:val="20"/>
    </w:rPr>
  </w:style>
  <w:style w:type="character" w:styleId="874" w:customStyle="1">
    <w:name w:val="页眉 字符"/>
    <w:basedOn w:val="689"/>
    <w:link w:val="706"/>
    <w:uiPriority w:val="99"/>
    <w:qFormat/>
    <w:rPr>
      <w:sz w:val="18"/>
      <w:szCs w:val="18"/>
    </w:rPr>
  </w:style>
  <w:style w:type="character" w:styleId="875" w:customStyle="1">
    <w:name w:val="页脚 字符"/>
    <w:basedOn w:val="689"/>
    <w:link w:val="704"/>
    <w:uiPriority w:val="99"/>
    <w:qFormat/>
    <w:rPr>
      <w:sz w:val="18"/>
      <w:szCs w:val="18"/>
    </w:rPr>
  </w:style>
  <w:style w:type="character" w:styleId="876" w:customStyle="1">
    <w:name w:val="标题 1 字符"/>
    <w:basedOn w:val="689"/>
    <w:link w:val="680"/>
    <w:uiPriority w:val="0"/>
    <w:qFormat/>
    <w:rPr>
      <w:rFonts w:ascii="Calibri" w:hAnsi="Calibri" w:eastAsia="宋体" w:cs="Times New Roman"/>
      <w:b/>
      <w:sz w:val="44"/>
      <w:szCs w:val="20"/>
    </w:rPr>
  </w:style>
  <w:style w:type="character" w:styleId="877" w:customStyle="1">
    <w:name w:val="标题 2 字符"/>
    <w:basedOn w:val="689"/>
    <w:link w:val="681"/>
    <w:uiPriority w:val="0"/>
    <w:qFormat/>
    <w:rPr>
      <w:rFonts w:ascii="Arial" w:hAnsi="Arial" w:eastAsia="黑体" w:cs="Times New Roman"/>
      <w:b/>
      <w:sz w:val="32"/>
      <w:szCs w:val="20"/>
    </w:rPr>
  </w:style>
  <w:style w:type="character" w:styleId="878" w:customStyle="1">
    <w:name w:val="标题 3 字符"/>
    <w:basedOn w:val="689"/>
    <w:link w:val="682"/>
    <w:uiPriority w:val="0"/>
    <w:qFormat/>
    <w:rPr>
      <w:rFonts w:ascii="Calibri" w:hAnsi="Calibri" w:eastAsia="宋体" w:cs="Times New Roman"/>
      <w:b/>
      <w:sz w:val="32"/>
      <w:szCs w:val="20"/>
    </w:rPr>
  </w:style>
  <w:style w:type="character" w:styleId="879" w:customStyle="1">
    <w:name w:val="标题 4 字符"/>
    <w:basedOn w:val="689"/>
    <w:link w:val="683"/>
    <w:uiPriority w:val="0"/>
    <w:qFormat/>
    <w:rPr>
      <w:rFonts w:ascii="Arial" w:hAnsi="Arial" w:eastAsia="黑体" w:cs="Times New Roman"/>
      <w:b/>
      <w:sz w:val="28"/>
      <w:szCs w:val="20"/>
    </w:rPr>
  </w:style>
  <w:style w:type="character" w:styleId="880" w:customStyle="1">
    <w:name w:val="标题 5 字符"/>
    <w:basedOn w:val="689"/>
    <w:link w:val="684"/>
    <w:uiPriority w:val="0"/>
    <w:qFormat/>
    <w:rPr>
      <w:rFonts w:ascii="Calibri" w:hAnsi="Calibri" w:eastAsia="宋体" w:cs="Times New Roman"/>
      <w:b/>
      <w:sz w:val="28"/>
      <w:szCs w:val="20"/>
    </w:rPr>
  </w:style>
  <w:style w:type="character" w:styleId="881" w:customStyle="1">
    <w:name w:val="标题 6 字符"/>
    <w:basedOn w:val="689"/>
    <w:link w:val="685"/>
    <w:uiPriority w:val="0"/>
    <w:qFormat/>
    <w:rPr>
      <w:rFonts w:ascii="Arial" w:hAnsi="Arial" w:eastAsia="黑体" w:cs="Times New Roman"/>
      <w:b/>
      <w:sz w:val="24"/>
      <w:szCs w:val="20"/>
    </w:rPr>
  </w:style>
  <w:style w:type="character" w:styleId="882" w:customStyle="1">
    <w:name w:val="标题 7 字符"/>
    <w:basedOn w:val="689"/>
    <w:link w:val="686"/>
    <w:uiPriority w:val="0"/>
    <w:qFormat/>
    <w:rPr>
      <w:rFonts w:ascii="Calibri" w:hAnsi="Calibri" w:eastAsia="宋体" w:cs="Times New Roman"/>
      <w:b/>
      <w:sz w:val="24"/>
      <w:szCs w:val="20"/>
    </w:rPr>
  </w:style>
  <w:style w:type="character" w:styleId="883" w:customStyle="1">
    <w:name w:val="标题 8 字符"/>
    <w:basedOn w:val="689"/>
    <w:link w:val="687"/>
    <w:uiPriority w:val="0"/>
    <w:qFormat/>
    <w:rPr>
      <w:rFonts w:ascii="Arial" w:hAnsi="Arial" w:eastAsia="黑体" w:cs="Times New Roman"/>
      <w:sz w:val="24"/>
      <w:szCs w:val="20"/>
    </w:rPr>
  </w:style>
  <w:style w:type="character" w:styleId="884" w:customStyle="1">
    <w:name w:val="标题 9 字符"/>
    <w:basedOn w:val="689"/>
    <w:link w:val="688"/>
    <w:uiPriority w:val="0"/>
    <w:qFormat/>
    <w:rPr>
      <w:rFonts w:ascii="Arial" w:hAnsi="Arial" w:eastAsia="黑体" w:cs="Times New Roman"/>
      <w:szCs w:val="20"/>
    </w:rPr>
  </w:style>
  <w:style w:type="character" w:styleId="885" w:customStyle="1">
    <w:name w:val="批注文字 字符"/>
    <w:basedOn w:val="689"/>
    <w:link w:val="696"/>
    <w:uiPriority w:val="0"/>
    <w:qFormat/>
    <w:rPr>
      <w:rFonts w:ascii="Calibri" w:hAnsi="Calibri" w:eastAsia="宋体" w:cs="Times New Roman"/>
      <w:szCs w:val="20"/>
    </w:rPr>
  </w:style>
  <w:style w:type="character" w:styleId="886" w:customStyle="1">
    <w:name w:val="正文文本 字符"/>
    <w:basedOn w:val="689"/>
    <w:link w:val="697"/>
    <w:uiPriority w:val="0"/>
    <w:qFormat/>
    <w:rPr>
      <w:rFonts w:ascii="Calibri" w:hAnsi="Calibri" w:eastAsia="宋体" w:cs="Times New Roman"/>
      <w:sz w:val="20"/>
      <w:szCs w:val="20"/>
    </w:rPr>
  </w:style>
  <w:style w:type="character" w:styleId="887" w:customStyle="1">
    <w:name w:val="正文文本缩进 字符"/>
    <w:basedOn w:val="689"/>
    <w:link w:val="698"/>
    <w:uiPriority w:val="0"/>
    <w:qFormat/>
    <w:rPr>
      <w:rFonts w:ascii="Calibri" w:hAnsi="Calibri" w:eastAsia="宋体" w:cs="Times New Roman"/>
      <w:szCs w:val="20"/>
    </w:rPr>
  </w:style>
  <w:style w:type="character" w:styleId="888" w:customStyle="1">
    <w:name w:val="批注框文本 字符"/>
    <w:basedOn w:val="689"/>
    <w:link w:val="703"/>
    <w:uiPriority w:val="0"/>
    <w:qFormat/>
    <w:rPr>
      <w:rFonts w:ascii="Calibri" w:hAnsi="Calibri" w:eastAsia="宋体" w:cs="Times New Roman"/>
      <w:sz w:val="18"/>
      <w:szCs w:val="18"/>
    </w:rPr>
  </w:style>
  <w:style w:type="character" w:styleId="889" w:customStyle="1">
    <w:name w:val="副标题 字符"/>
    <w:basedOn w:val="689"/>
    <w:link w:val="709"/>
    <w:uiPriority w:val="0"/>
    <w:qFormat/>
    <w:rPr>
      <w:rFonts w:ascii="Calibri Light" w:hAnsi="Calibri Light" w:eastAsia="宋体" w:cs="Times New Roman"/>
      <w:b/>
      <w:bCs/>
      <w:sz w:val="32"/>
      <w:szCs w:val="32"/>
    </w:rPr>
  </w:style>
  <w:style w:type="character" w:styleId="890" w:customStyle="1">
    <w:name w:val="正文文本缩进 3 字符"/>
    <w:basedOn w:val="689"/>
    <w:link w:val="712"/>
    <w:uiPriority w:val="0"/>
    <w:qFormat/>
    <w:rPr>
      <w:rFonts w:ascii="Calibri" w:hAnsi="Calibri" w:eastAsia="宋体" w:cs="Times New Roman"/>
      <w:sz w:val="16"/>
      <w:szCs w:val="16"/>
    </w:rPr>
  </w:style>
  <w:style w:type="character" w:styleId="891" w:customStyle="1">
    <w:name w:val="正文文本 2 字符"/>
    <w:basedOn w:val="689"/>
    <w:link w:val="716"/>
    <w:uiPriority w:val="0"/>
    <w:qFormat/>
    <w:rPr>
      <w:rFonts w:ascii="Calibri" w:hAnsi="Calibri" w:eastAsia="宋体" w:cs="Times New Roman"/>
      <w:sz w:val="20"/>
      <w:szCs w:val="20"/>
    </w:rPr>
  </w:style>
  <w:style w:type="character" w:styleId="892" w:customStyle="1">
    <w:name w:val="HTML 预设格式 字符"/>
    <w:basedOn w:val="689"/>
    <w:link w:val="717"/>
    <w:uiPriority w:val="0"/>
    <w:qFormat/>
    <w:rPr>
      <w:rFonts w:ascii="宋体" w:hAnsi="宋体" w:eastAsia="Times New Roman" w:cs="Times New Roman"/>
      <w:sz w:val="24"/>
      <w:szCs w:val="24"/>
      <w:lang w:val="en-US" w:eastAsia="zh-CN"/>
    </w:rPr>
  </w:style>
  <w:style w:type="character" w:styleId="893" w:customStyle="1">
    <w:name w:val="标题 字符"/>
    <w:basedOn w:val="689"/>
    <w:link w:val="719"/>
    <w:uiPriority w:val="0"/>
    <w:qFormat/>
    <w:rPr>
      <w:rFonts w:ascii="Cambria" w:hAnsi="Cambria" w:eastAsia="宋体" w:cs="Times New Roman"/>
      <w:b/>
      <w:bCs/>
      <w:sz w:val="24"/>
      <w:szCs w:val="32"/>
    </w:rPr>
  </w:style>
  <w:style w:type="character" w:styleId="894" w:customStyle="1">
    <w:name w:val="批注主题 字符"/>
    <w:basedOn w:val="885"/>
    <w:link w:val="720"/>
    <w:uiPriority w:val="0"/>
    <w:qFormat/>
    <w:rPr>
      <w:rFonts w:ascii="Calibri" w:hAnsi="Calibri" w:eastAsia="宋体" w:cs="Times New Roman"/>
      <w:b/>
      <w:bCs/>
      <w:szCs w:val="20"/>
    </w:rPr>
  </w:style>
  <w:style w:type="character" w:styleId="895" w:customStyle="1">
    <w:name w:val="正文文本首行缩进 2 字符"/>
    <w:basedOn w:val="887"/>
    <w:link w:val="721"/>
    <w:uiPriority w:val="0"/>
    <w:qFormat/>
    <w:rPr>
      <w:rFonts w:ascii="仿宋_GB2312" w:hAnsi="Calibri" w:eastAsia="仿宋_GB2312" w:cs="Times New Roman"/>
      <w:sz w:val="24"/>
      <w:szCs w:val="24"/>
    </w:rPr>
  </w:style>
  <w:style w:type="character" w:styleId="896" w:customStyle="1">
    <w:name w:val="正文首行缩进 2 Char1"/>
    <w:uiPriority w:val="0"/>
    <w:qFormat/>
  </w:style>
  <w:style w:type="character" w:styleId="897" w:customStyle="1">
    <w:name w:val="标题 Char1"/>
    <w:uiPriority w:val="0"/>
    <w:qFormat/>
    <w:rPr>
      <w:rFonts w:ascii="Cambria" w:hAnsi="Cambria" w:cs="Times New Roman"/>
      <w:b/>
      <w:bCs/>
      <w:sz w:val="32"/>
      <w:szCs w:val="32"/>
      <w:lang w:bidi="ar-SA"/>
    </w:rPr>
  </w:style>
  <w:style w:type="character" w:styleId="898" w:customStyle="1">
    <w:name w:val="副标题 Char1"/>
    <w:uiPriority w:val="0"/>
    <w:qFormat/>
    <w:rPr>
      <w:rFonts w:ascii="Cambria" w:hAnsi="Cambria" w:cs="Times New Roman"/>
      <w:b/>
      <w:bCs/>
      <w:sz w:val="32"/>
      <w:szCs w:val="32"/>
      <w:lang w:bidi="ar-SA"/>
    </w:rPr>
  </w:style>
  <w:style w:type="character" w:styleId="899" w:customStyle="1">
    <w:name w:val="fr"/>
    <w:basedOn w:val="689"/>
    <w:uiPriority w:val="0"/>
    <w:qFormat/>
  </w:style>
  <w:style w:type="character" w:styleId="900" w:customStyle="1">
    <w:name w:val="15"/>
    <w:uiPriority w:val="0"/>
    <w:qFormat/>
    <w:rPr>
      <w:rFonts w:ascii="Times New Roman" w:hAnsi="Times New Roman" w:cs="Times New Roman"/>
      <w:color w:val="464445"/>
      <w:u w:val="none"/>
      <w:lang w:bidi="ar-SA"/>
    </w:rPr>
  </w:style>
  <w:style w:type="character" w:styleId="901" w:customStyle="1">
    <w:name w:val="标题1"/>
    <w:basedOn w:val="689"/>
    <w:uiPriority w:val="0"/>
    <w:qFormat/>
  </w:style>
  <w:style w:type="character" w:styleId="902" w:customStyle="1">
    <w:name w:val="apple-converted-space"/>
    <w:basedOn w:val="689"/>
    <w:uiPriority w:val="0"/>
    <w:qFormat/>
  </w:style>
  <w:style w:type="paragraph" w:styleId="903" w:customStyle="1">
    <w:name w:val="zhang"/>
    <w:basedOn w:val="679"/>
    <w:uiPriority w:val="0"/>
    <w:qFormat/>
    <w:pPr>
      <w:jc w:val="left"/>
      <w:spacing w:before="100" w:beforeAutospacing="1" w:after="100" w:afterAutospacing="1"/>
      <w:widowControl/>
    </w:pPr>
    <w:rPr>
      <w:rFonts w:ascii="宋体" w:cs="宋体"/>
      <w:b/>
      <w:bCs/>
      <w:smallCaps/>
      <w:color w:val="000000"/>
      <w:sz w:val="20"/>
    </w:rPr>
  </w:style>
  <w:style w:type="paragraph" w:styleId="904">
    <w:name w:val="List Paragraph"/>
    <w:basedOn w:val="679"/>
    <w:uiPriority w:val="99"/>
    <w:qFormat/>
    <w:pPr>
      <w:ind w:firstLine="200"/>
    </w:pPr>
  </w:style>
  <w:style w:type="paragraph" w:styleId="905" w:customStyle="1">
    <w:name w:val="p0"/>
    <w:basedOn w:val="679"/>
    <w:uiPriority w:val="0"/>
    <w:qFormat/>
    <w:pPr>
      <w:widowControl/>
    </w:pPr>
    <w:rPr>
      <w:szCs w:val="21"/>
    </w:rPr>
  </w:style>
  <w:style w:type="paragraph" w:styleId="906" w:customStyle="1">
    <w:name w:val="Default Paragraph Font Para Char"/>
    <w:basedOn w:val="679"/>
    <w:uiPriority w:val="0"/>
    <w:qFormat/>
    <w:pPr>
      <w:jc w:val="left"/>
      <w:spacing w:after="160" w:line="240" w:lineRule="exact"/>
      <w:widowControl/>
    </w:pPr>
  </w:style>
  <w:style w:type="paragraph" w:styleId="907" w:customStyle="1">
    <w:name w:val="索引 11"/>
    <w:basedOn w:val="679"/>
    <w:next w:val="679"/>
    <w:uiPriority w:val="0"/>
    <w:qFormat/>
    <w:pPr>
      <w:spacing w:line="360" w:lineRule="auto"/>
    </w:pPr>
    <w:rPr>
      <w:rFonts w:ascii="仿宋_GB2312" w:eastAsia="仿宋_GB2312"/>
      <w:sz w:val="24"/>
    </w:rPr>
  </w:style>
  <w:style w:type="paragraph" w:styleId="908" w:customStyle="1">
    <w:name w:val="纯文本1"/>
    <w:basedOn w:val="679"/>
    <w:uiPriority w:val="0"/>
    <w:qFormat/>
    <w:rPr>
      <w:rFonts w:ascii="宋体"/>
      <w:szCs w:val="22"/>
    </w:rPr>
  </w:style>
  <w:style w:type="paragraph" w:styleId="909" w:customStyle="1">
    <w:name w:val="正文_1_1"/>
    <w:uiPriority w:val="0"/>
    <w:qFormat/>
    <w:pPr>
      <w:jc w:val="both"/>
      <w:widowControl w:val="off"/>
    </w:pPr>
    <w:rPr>
      <w:rFonts w:hint="default" w:ascii="Calibri" w:hAnsi="Calibri" w:eastAsia="宋体" w:cs="Times New Roman"/>
      <w:sz w:val="21"/>
      <w:szCs w:val="24"/>
      <w:lang w:val="en-US" w:eastAsia="zh-CN" w:bidi="ar-SA"/>
    </w:rPr>
  </w:style>
  <w:style w:type="paragraph" w:styleId="910" w:customStyle="1">
    <w:name w:val="_Style 34"/>
    <w:basedOn w:val="679"/>
    <w:uiPriority w:val="0"/>
    <w:qFormat/>
    <w:pPr>
      <w:ind w:firstLine="200"/>
    </w:pPr>
    <w:rPr>
      <w:rFonts w:ascii="Times New Roman" w:hAnsi="Times New Roman"/>
    </w:rPr>
  </w:style>
  <w:style w:type="paragraph" w:styleId="911" w:customStyle="1">
    <w:name w:val="_Style 5"/>
    <w:uiPriority w:val="0"/>
    <w:qFormat/>
    <w:rPr>
      <w:rFonts w:hint="default" w:ascii="Calibri" w:hAnsi="Calibri" w:eastAsia="宋体" w:cs="Times New Roman"/>
      <w:sz w:val="21"/>
      <w:szCs w:val="20"/>
      <w:lang w:val="en-US" w:eastAsia="zh-CN" w:bidi="ar-SA"/>
    </w:rPr>
  </w:style>
  <w:style w:type="paragraph" w:styleId="912" w:customStyle="1">
    <w:name w:val="TOC Heading"/>
    <w:basedOn w:val="680"/>
    <w:next w:val="679"/>
    <w:uiPriority w:val="0"/>
    <w:qFormat/>
    <w:pPr>
      <w:spacing w:line="578" w:lineRule="auto"/>
      <w:outlineLvl w:val="9"/>
    </w:pPr>
    <w:rPr>
      <w:bCs/>
      <w:szCs w:val="44"/>
    </w:rPr>
  </w:style>
  <w:style w:type="paragraph" w:styleId="913" w:customStyle="1">
    <w:name w:val="正文缩进1"/>
    <w:basedOn w:val="679"/>
    <w:uiPriority w:val="0"/>
    <w:qFormat/>
    <w:pPr>
      <w:ind w:firstLine="420"/>
      <w:jc w:val="left"/>
    </w:pPr>
    <w:rPr>
      <w:rFonts w:ascii="宋体"/>
      <w:sz w:val="24"/>
      <w:szCs w:val="22"/>
    </w:rPr>
  </w:style>
  <w:style w:type="paragraph" w:styleId="914" w:customStyle="1">
    <w:name w:val="正文_1_0"/>
    <w:basedOn w:val="679"/>
    <w:uiPriority w:val="0"/>
    <w:qFormat/>
    <w:rPr>
      <w:szCs w:val="24"/>
    </w:rPr>
  </w:style>
  <w:style w:type="paragraph" w:styleId="915" w:customStyle="1">
    <w:name w:val="普通文字"/>
    <w:basedOn w:val="679"/>
    <w:next w:val="679"/>
    <w:uiPriority w:val="99"/>
    <w:qFormat/>
    <w:rPr>
      <w:rFonts w:ascii="宋体"/>
      <w:sz w:val="24"/>
    </w:rPr>
  </w:style>
  <w:style w:type="paragraph" w:styleId="916" w:customStyle="1">
    <w:name w:val="正文_1"/>
    <w:uiPriority w:val="0"/>
    <w:qFormat/>
    <w:pPr>
      <w:jc w:val="both"/>
      <w:widowControl w:val="off"/>
    </w:pPr>
    <w:rPr>
      <w:rFonts w:hint="default" w:ascii="Times New Roman" w:hAnsi="Times New Roman" w:eastAsia="Calibri" w:cs="Times New Roman"/>
      <w:sz w:val="21"/>
      <w:szCs w:val="24"/>
      <w:lang w:val="en-US" w:eastAsia="zh-CN" w:bidi="ar-SA"/>
    </w:rPr>
  </w:style>
  <w:style w:type="character" w:styleId="917" w:customStyle="1">
    <w:name w:val="文档结构图 字符"/>
    <w:basedOn w:val="689"/>
    <w:link w:val="695"/>
    <w:uiPriority w:val="99"/>
    <w:qFormat/>
    <w:rPr>
      <w:rFonts w:ascii="Microsoft YaHei UI" w:hAnsi="Calibri" w:eastAsia="Microsoft YaHei UI" w:cs="Times New Roman"/>
      <w:sz w:val="18"/>
      <w:szCs w:val="18"/>
    </w:rPr>
  </w:style>
  <w:style w:type="paragraph" w:styleId="918" w:customStyle="1">
    <w:name w:val="xc正文"/>
    <w:basedOn w:val="679"/>
    <w:uiPriority w:val="0"/>
    <w:qFormat/>
    <w:pPr>
      <w:ind w:firstLine="200"/>
      <w:spacing w:line="360" w:lineRule="auto"/>
    </w:pPr>
    <w:rPr>
      <w:sz w:val="24"/>
      <w:szCs w:val="22"/>
    </w:rPr>
  </w:style>
  <w:style w:type="table" w:styleId="919" w:customStyle="1">
    <w:name w:val="网格型1"/>
    <w:basedOn w:val="690"/>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0" w:customStyle="1">
    <w:name w:val="Default"/>
    <w:basedOn w:val="679"/>
    <w:uiPriority w:val="0"/>
    <w:qFormat/>
    <w:pPr>
      <w:jc w:val="left"/>
    </w:pPr>
    <w:rPr>
      <w:rFonts w:ascii="Arial" w:hAnsi="Arial" w:eastAsia="PMingLiU"/>
      <w:sz w:val="20"/>
    </w:rPr>
  </w:style>
  <w:style w:type="character" w:styleId="921" w:customStyle="1">
    <w:name w:val="Unresolved Mention"/>
    <w:basedOn w:val="689"/>
    <w:uiPriority w:val="99"/>
    <w:semiHidden/>
    <w:unhideWhenUsed/>
    <w:qFormat/>
    <w:rPr>
      <w:color w:val="605e5c"/>
      <w:shd w:val="clear" w:color="auto" w:fill="e1dfdd"/>
    </w:rPr>
  </w:style>
  <w:style w:type="table" w:styleId="922" w:customStyle="1">
    <w:name w:val="Grid Table 5 Dark- Accent 4"/>
    <w:basedOn w:val="690"/>
    <w:uiPriority w:val="99"/>
    <w:qFormat/>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paragraph" w:styleId="923" w:customStyle="1">
    <w:name w:val="02 正文"/>
    <w:basedOn w:val="679"/>
    <w:uiPriority w:val="0"/>
    <w:qFormat/>
    <w:pPr>
      <w:ind w:firstLine="200"/>
      <w:jc w:val="both"/>
      <w:spacing w:before="0"/>
      <w:widowControl/>
    </w:pPr>
    <w:rPr>
      <w:sz w:val="24"/>
      <w:szCs w:val="24"/>
    </w:rPr>
  </w:style>
  <w:style w:type="paragraph" w:styleId="924" w:customStyle="1">
    <w:name w:val="02 三级标题"/>
    <w:basedOn w:val="679"/>
    <w:next w:val="923"/>
    <w:uiPriority w:val="0"/>
    <w:qFormat/>
    <w:pPr>
      <w:ind w:firstLine="0"/>
      <w:spacing w:before="0"/>
      <w:widowControl/>
      <w:outlineLvl w:val="2"/>
    </w:pPr>
    <w:rPr>
      <w:rFonts w:eastAsia="黑体"/>
      <w:b/>
      <w:sz w:val="28"/>
      <w:szCs w:val="28"/>
    </w:rPr>
  </w:style>
  <w:style w:type="paragraph" w:styleId="925" w:customStyle="1">
    <w:name w:val="Table Text"/>
    <w:basedOn w:val="679"/>
    <w:uiPriority w:val="0"/>
    <w:semiHidden/>
    <w:qFormat/>
    <w:rPr>
      <w:rFonts w:ascii="宋体" w:hAnsi="宋体" w:eastAsia="宋体" w:cs="宋体"/>
      <w:sz w:val="24"/>
      <w:szCs w:val="24"/>
      <w:lang w:val="en-US" w:eastAsia="en-US" w:bidi="ar-SA"/>
    </w:rPr>
  </w:style>
  <w:style w:type="paragraph" w:styleId="926" w:customStyle="1">
    <w:name w:val="首行缩进"/>
    <w:basedOn w:val="679"/>
    <w:uiPriority w:val="0"/>
    <w:qFormat/>
    <w:pPr>
      <w:ind w:firstLine="480"/>
      <w:spacing w:line="360" w:lineRule="auto"/>
    </w:pPr>
    <w:rPr>
      <w:rFonts w:ascii="宋体" w:hAnsi="宋体" w:cs="宋体"/>
      <w:sz w:val="24"/>
    </w:rPr>
  </w:style>
  <w:style w:type="paragraph" w:styleId="927" w:customStyle="1">
    <w:name w:val="正文文本1"/>
    <w:basedOn w:val="679"/>
    <w:uiPriority w:val="0"/>
    <w:qFormat/>
    <w:rPr>
      <w:rFonts w:cs="Times New Roman"/>
      <w:sz w:val="20"/>
      <w:szCs w:val="20"/>
    </w:rPr>
  </w:style>
  <w:style w:type="numbering" w:styleId="9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中达</cp:lastModifiedBy>
  <cp:revision>254</cp:revision>
  <dcterms:created xsi:type="dcterms:W3CDTF">2022-11-02T09:03:00Z</dcterms:created>
  <dcterms:modified xsi:type="dcterms:W3CDTF">2025-12-11T02:15:05Z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FDF4AB81C26A4B0F8586F9282EE34806_13</vt:lpwstr>
  </property>
  <property fmtid="{D5CDD505-2E9C-101B-9397-08002B2CF9AE}" pid="4" name="KSOTemplateDocerSaveRecord">
    <vt:lpwstr>eyJoZGlkIjoiYzJhZWE2YmJiYzhjOGY2YTMzOWFlMTZhNzBhZDk0MjQiLCJ1c2VySWQiOiIyOTIxNjQxOTMifQ==</vt:lpwstr>
  </property>
</Properties>
</file>